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440605-2025-05666</w:t>
      </w:r>
    </w:p>
    <w:p>
      <w:pPr>
        <w:pStyle w:val="null3"/>
        <w:jc w:val="center"/>
        <w:outlineLvl w:val="3"/>
      </w:pPr>
      <w:r>
        <w:rPr>
          <w:sz w:val="24"/>
          <w:b/>
        </w:rPr>
        <w:t>采购项目编号：</w:t>
      </w:r>
      <w:r>
        <w:rPr>
          <w:sz w:val="24"/>
          <w:b/>
        </w:rPr>
        <w:t>沥采2025029</w:t>
      </w:r>
    </w:p>
    <w:p>
      <w:pPr>
        <w:pStyle w:val="null3"/>
        <w:jc w:val="center"/>
        <w:outlineLvl w:val="3"/>
      </w:pPr>
      <w:r>
        <w:rPr>
          <w:sz w:val="24"/>
          <w:b/>
        </w:rPr>
        <w:t>项目名称：</w:t>
      </w:r>
      <w:r>
        <w:rPr>
          <w:sz w:val="24"/>
          <w:b/>
        </w:rPr>
        <w:t>数据运维管控体系建设</w:t>
      </w:r>
    </w:p>
    <w:p>
      <w:pPr>
        <w:pStyle w:val="null3"/>
        <w:jc w:val="center"/>
        <w:outlineLvl w:val="3"/>
      </w:pPr>
      <w:r>
        <w:rPr>
          <w:sz w:val="24"/>
          <w:b/>
        </w:rPr>
        <w:t>采购人：</w:t>
      </w:r>
      <w:r>
        <w:rPr>
          <w:sz w:val="24"/>
          <w:b/>
        </w:rPr>
        <w:t>佛山市南海区第五人民医院</w:t>
      </w:r>
    </w:p>
    <w:p>
      <w:pPr>
        <w:pStyle w:val="null3"/>
        <w:jc w:val="center"/>
        <w:outlineLvl w:val="3"/>
      </w:pPr>
      <w:r>
        <w:rPr>
          <w:sz w:val="24"/>
          <w:b/>
        </w:rPr>
        <w:t>采购代理机构：</w:t>
      </w:r>
      <w:r>
        <w:rPr>
          <w:sz w:val="24"/>
          <w:b/>
        </w:rPr>
        <w:t>广东信诚招标代理咨询有限公司佛山分公司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广东信诚招标代理咨询有限公司佛山分公司</w:t>
      </w:r>
      <w:r>
        <w:rPr/>
        <w:t>受</w:t>
      </w:r>
      <w:r>
        <w:rPr/>
        <w:t>佛山市南海区第五人民医院</w:t>
      </w:r>
      <w:r>
        <w:rPr/>
        <w:t>的委托，采用</w:t>
      </w:r>
      <w:r>
        <w:rPr/>
        <w:t>公开招标</w:t>
      </w:r>
      <w:r>
        <w:rPr/>
        <w:t>方式组织采购</w:t>
      </w:r>
      <w:r>
        <w:rPr/>
        <w:t>数据运维管控体系建设</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数据运维管控体系建设</w:t>
      </w:r>
    </w:p>
    <w:p>
      <w:pPr>
        <w:pStyle w:val="null3"/>
        <w:ind w:firstLine="480"/>
      </w:pPr>
      <w:r>
        <w:rPr/>
        <w:t>采购计划编号：</w:t>
      </w:r>
      <w:r>
        <w:rPr/>
        <w:t>440605-2025-05666</w:t>
      </w:r>
    </w:p>
    <w:p>
      <w:pPr>
        <w:pStyle w:val="null3"/>
        <w:ind w:firstLine="480"/>
      </w:pPr>
      <w:r>
        <w:rPr/>
        <w:t>采购项目编号：</w:t>
      </w:r>
      <w:r>
        <w:rPr/>
        <w:t>沥采2025029</w:t>
      </w:r>
    </w:p>
    <w:p>
      <w:pPr>
        <w:pStyle w:val="null3"/>
        <w:ind w:firstLine="480"/>
      </w:pPr>
      <w:r>
        <w:rPr/>
        <w:t>采购方式：</w:t>
      </w:r>
      <w:r>
        <w:rPr/>
        <w:t>公开招标</w:t>
      </w:r>
    </w:p>
    <w:p>
      <w:pPr>
        <w:pStyle w:val="null3"/>
        <w:ind w:firstLine="480"/>
      </w:pPr>
      <w:r>
        <w:rPr/>
        <w:t>预算金额：</w:t>
      </w:r>
      <w:r>
        <w:rPr/>
        <w:t>2,990,000.00</w:t>
      </w:r>
      <w:r>
        <w:rPr/>
        <w:t>元</w:t>
      </w:r>
    </w:p>
    <w:p>
      <w:pPr>
        <w:pStyle w:val="null3"/>
        <w:outlineLvl w:val="3"/>
      </w:pPr>
      <w:r>
        <w:rPr>
          <w:sz w:val="24"/>
          <w:b/>
        </w:rPr>
        <w:t>2.项目内容及需求情况（采购项目技术规格、参数及要求）</w:t>
      </w:r>
    </w:p>
    <w:p>
      <w:pPr>
        <w:pStyle w:val="null3"/>
      </w:pPr>
      <w:r>
        <w:rPr/>
        <w:t>采购包1(数据运维管控体系建设):</w:t>
      </w:r>
    </w:p>
    <w:p>
      <w:pPr>
        <w:pStyle w:val="null3"/>
      </w:pPr>
      <w:r>
        <w:rPr/>
        <w:t>采购包预算金额：2,990,000.00元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数据运维管控体系建设</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合同履行期限：自签订合同之日起200个工作日内系统开发部署完毕，并交付使用。系统正式上线试运行一个月后进行项目初步验收。运维服务期自初步验收合格之日起一年。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1）具有独立承担民事责任的能力：在中华人民共和国境内注册的法人或其他组织或自然人，投标（响应）时提交有效的营业执照（或事业法人登记证或身份证等相关证明）副本扫描件；</w:t>
      </w:r>
    </w:p>
    <w:p>
      <w:pPr>
        <w:pStyle w:val="null3"/>
      </w:pPr>
      <w:r>
        <w:rPr/>
        <w:t>2）有依法缴纳税收和社会保障资金的良好记录：投标人提供加盖投标人公章的《政府采购供应商资格信用承诺函》（详见招标公告附件）或提供以下资料：提供投标截止日前12个月内任意1个月依法缴纳税收和社会保障资金的相关材料。如依法免税或不需要缴纳社会保障资金的，提供相应证明材料；</w:t>
      </w:r>
    </w:p>
    <w:p>
      <w:pPr>
        <w:pStyle w:val="null3"/>
      </w:pPr>
      <w:r>
        <w:rPr/>
        <w:t>3）具有良好的商业信誉和健全的财务会计制度：投标人提供加盖投标人公章的《政府采购供应商资格信用承诺函》（详见招标公告附件）或提供以下资料：提供2024年度经审计的财务状况报告或基本开户行出具的资信证明或财政部门认可的政府采购专业担保机构出具的担保函,成立不足一年的单位可以提供投标截止前上一季度或月份财务会计报表；</w:t>
      </w:r>
    </w:p>
    <w:p>
      <w:pPr>
        <w:pStyle w:val="null3"/>
      </w:pPr>
      <w:r>
        <w:rPr/>
        <w:t>4）履行合同所必需的设备和专业技术能力：按投标文件格式填报设备及专业技术能力情况；</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认定为200万元以上的罚款，法律、行政法规以及国务院有关部门明确规定相关领域“较大数额罚款”标准高于200万元的，从其规定。）；6）法律、行政法规规定的其他条件。</w:t>
      </w:r>
    </w:p>
    <w:p>
      <w:pPr>
        <w:pStyle w:val="null3"/>
        <w:outlineLvl w:val="3"/>
      </w:pPr>
      <w:r>
        <w:rPr>
          <w:sz w:val="24"/>
          <w:b/>
        </w:rPr>
        <w:t>2.落实政府采购政策需满足的资格要求：</w:t>
      </w:r>
    </w:p>
    <w:p>
      <w:pPr>
        <w:pStyle w:val="null3"/>
        <w:jc w:val="left"/>
      </w:pPr>
      <w:r>
        <w:rPr/>
        <w:t>采购包1（数据运维管控体系建设）：</w:t>
      </w:r>
      <w:r>
        <w:rPr/>
        <w:t>本项目属于专门面向小微企业采购，小微企业以供应商填写的《中小企业声明函(工程、服务)》（见招标文件格式）为判定标准，残疾人福利性单位以供应商提供的《残疾人福利性单位声明函》(见招标文件格式)为判定标准，监狱企业须供应商提供由省级以上监狱管理局、戒毒管理局(含新疆生产建设兵团)出具的属于监狱企业的证明文件。本项目的中小企业划分标准所属行业为：软件和信息技术服务业。</w:t>
      </w:r>
    </w:p>
    <w:p>
      <w:pPr>
        <w:pStyle w:val="null3"/>
        <w:outlineLvl w:val="3"/>
      </w:pPr>
      <w:r>
        <w:rPr>
          <w:sz w:val="24"/>
          <w:b/>
        </w:rPr>
        <w:t>3.本项目特定的资格要求：</w:t>
      </w:r>
    </w:p>
    <w:p>
      <w:pPr>
        <w:pStyle w:val="null3"/>
      </w:pPr>
      <w:r>
        <w:rPr/>
        <w:t>采购包1（数据运维管控体系建设）：</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投标。为本项目提供整体设计、规范编制或者项目管理、监理、检测等服务的供应商，不得再参与本项目投标（参照投标函相关承诺格式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广东省公共资源交易平台（https://ygp.gdzwfw.gov.cn/ggzy-portal/#/440600/index），佛山市南海区人民政府网（http://www.nanhai.gov.cn/），广东信诚招标代理咨询有限公司（http://www.gdxczb.cn/）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佛山市南海区第五人民医院</w:t>
      </w:r>
    </w:p>
    <w:p>
      <w:pPr>
        <w:pStyle w:val="null3"/>
        <w:ind w:firstLine="480"/>
      </w:pPr>
      <w:r>
        <w:rPr/>
        <w:t xml:space="preserve"> 地址：</w:t>
      </w:r>
      <w:r>
        <w:rPr/>
        <w:t>佛山市南海区大沥镇钟边路63号</w:t>
      </w:r>
    </w:p>
    <w:p>
      <w:pPr>
        <w:pStyle w:val="null3"/>
        <w:ind w:firstLine="480"/>
      </w:pPr>
      <w:r>
        <w:rPr/>
        <w:t xml:space="preserve"> 联系方式：</w:t>
      </w:r>
      <w:r>
        <w:rPr/>
        <w:t>0757-85919986</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广东信诚招标代理咨询有限公司佛山分公司</w:t>
      </w:r>
    </w:p>
    <w:p>
      <w:pPr>
        <w:pStyle w:val="null3"/>
        <w:ind w:firstLine="480"/>
      </w:pPr>
      <w:r>
        <w:rPr/>
        <w:t xml:space="preserve"> 地址：</w:t>
      </w:r>
      <w:r>
        <w:rPr/>
        <w:t>广东省佛山市南海区大沥镇广佛公路平地段38号万成广场A座2008室</w:t>
      </w:r>
    </w:p>
    <w:p>
      <w:pPr>
        <w:pStyle w:val="null3"/>
        <w:ind w:firstLine="480"/>
      </w:pPr>
      <w:r>
        <w:rPr/>
        <w:t xml:space="preserve"> 联系方式：</w:t>
      </w:r>
      <w:r>
        <w:rPr/>
        <w:t>0757-85753190</w:t>
      </w:r>
    </w:p>
    <w:p>
      <w:pPr>
        <w:pStyle w:val="null3"/>
        <w:outlineLvl w:val="3"/>
      </w:pPr>
      <w:r>
        <w:rPr>
          <w:sz w:val="24"/>
          <w:b/>
        </w:rPr>
        <w:t xml:space="preserve"> 3.项目联系方式</w:t>
      </w:r>
    </w:p>
    <w:p>
      <w:pPr>
        <w:pStyle w:val="null3"/>
        <w:ind w:firstLine="480"/>
      </w:pPr>
      <w:r>
        <w:rPr/>
        <w:t xml:space="preserve"> 项目联系人：</w:t>
      </w:r>
      <w:r>
        <w:rPr/>
        <w:t>蔡先生</w:t>
      </w:r>
    </w:p>
    <w:p>
      <w:pPr>
        <w:pStyle w:val="null3"/>
        <w:ind w:firstLine="480"/>
      </w:pPr>
      <w:r>
        <w:rPr/>
        <w:t xml:space="preserve"> 电话：</w:t>
      </w:r>
      <w:r>
        <w:rPr/>
        <w:t>0757-85753190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广东信诚招标代理咨询有限公司佛山分公司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2637"/>
        <w:gridCol w:w="685"/>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w:t>
            </w:r>
            <w:r>
              <w:rPr>
                <w:sz w:val="21"/>
                <w:b/>
              </w:rPr>
              <w:t>/最高限价</w:t>
            </w:r>
          </w:p>
          <w:p>
            <w:pPr>
              <w:pStyle w:val="null3"/>
              <w:jc w:val="center"/>
            </w:pPr>
            <w:r>
              <w:rPr>
                <w:sz w:val="21"/>
                <w:b/>
              </w:rPr>
              <w:t>（人民币</w:t>
            </w:r>
            <w:r>
              <w:rPr>
                <w:sz w:val="21"/>
                <w:b/>
              </w:rPr>
              <w:t>：</w:t>
            </w:r>
            <w:r>
              <w:rPr>
                <w:sz w:val="21"/>
                <w:b/>
              </w:rPr>
              <w:t>元</w:t>
            </w:r>
            <w:r>
              <w:rPr>
                <w:sz w:val="21"/>
                <w:b/>
              </w:rPr>
              <w:t>）</w:t>
            </w:r>
          </w:p>
        </w:tc>
        <w:tc>
          <w:tcPr>
            <w:tcW w:type="dxa" w:w="2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项目类型</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数据运维管控体系建设</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w:t>
            </w:r>
            <w:r>
              <w:rPr>
                <w:sz w:val="21"/>
              </w:rPr>
              <w:t>项</w:t>
            </w:r>
            <w:r>
              <w:rPr>
                <w:sz w:val="21"/>
              </w:rPr>
              <w:t>）</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2,990,000.00元</w:t>
            </w:r>
          </w:p>
        </w:tc>
        <w:tc>
          <w:tcPr>
            <w:tcW w:type="dxa" w:w="2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自签订合同之日起</w:t>
            </w:r>
            <w:r>
              <w:rPr>
                <w:sz w:val="21"/>
              </w:rPr>
              <w:t>200</w:t>
            </w:r>
            <w:r>
              <w:rPr>
                <w:sz w:val="21"/>
              </w:rPr>
              <w:t>个工作日内系统开发部署完毕，并交付使用</w:t>
            </w:r>
            <w:r>
              <w:rPr>
                <w:sz w:val="21"/>
              </w:rPr>
              <w:t>。</w:t>
            </w:r>
            <w:r>
              <w:rPr>
                <w:sz w:val="21"/>
              </w:rPr>
              <w:t>系统正式上线</w:t>
            </w:r>
            <w:r>
              <w:rPr>
                <w:sz w:val="21"/>
              </w:rPr>
              <w:t>试</w:t>
            </w:r>
            <w:r>
              <w:rPr>
                <w:sz w:val="21"/>
              </w:rPr>
              <w:t>运行一个月后进行项目初步验收</w:t>
            </w:r>
            <w:r>
              <w:rPr>
                <w:sz w:val="21"/>
              </w:rPr>
              <w:t>。运维服务</w:t>
            </w:r>
            <w:r>
              <w:rPr>
                <w:sz w:val="21"/>
              </w:rPr>
              <w:t>期自</w:t>
            </w:r>
            <w:r>
              <w:rPr>
                <w:sz w:val="21"/>
              </w:rPr>
              <w:t>初步</w:t>
            </w:r>
            <w:r>
              <w:rPr>
                <w:sz w:val="21"/>
              </w:rPr>
              <w:t>验收</w:t>
            </w:r>
            <w:r>
              <w:rPr>
                <w:sz w:val="21"/>
              </w:rPr>
              <w:t>合格之日起一年。</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服务类</w:t>
            </w:r>
          </w:p>
        </w:tc>
      </w:tr>
    </w:tbl>
    <w:p>
      <w:pPr>
        <w:pStyle w:val="null3"/>
      </w:pPr>
      <w:r>
        <w:rPr/>
        <w:t>采购包1（数据运维管控体系建设）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★合同履行期限：自签订合同之日起200个工作日内系统开发部署完毕，并交付使用。系统正式上线试运行一个月后进行项目初步验收。运维服务期自初步验收合格之日起一年。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1期：支付比例30%,★合同签订后，中标供应商向采购人提供合同，采购人审核后向中标供应商支付合同金额的30%作为预付款。</w:t>
            </w:r>
          </w:p>
          <w:p>
            <w:pPr>
              <w:pStyle w:val="null3"/>
            </w:pPr>
            <w:r>
              <w:rPr/>
              <w:t>2期：支付比例15%,★中标供应商进场并向采购人提供项目实施方案和进场人员明细表，采购人审核后向中标供应商支付合同金额的15%。</w:t>
            </w:r>
          </w:p>
          <w:p>
            <w:pPr>
              <w:pStyle w:val="null3"/>
            </w:pPr>
            <w:r>
              <w:rPr/>
              <w:t>3期：支付比例30%,★系统完成整体部署，正式上线后并交付对应文档后，中标供应商向采购人提供文档交付申请单，采购人审核后向中标供应商支付合同金额的30%。</w:t>
            </w:r>
          </w:p>
          <w:p>
            <w:pPr>
              <w:pStyle w:val="null3"/>
            </w:pPr>
            <w:r>
              <w:rPr/>
              <w:t>4期：支付比例15%,★当中标供应商的产品在采购人指定的系统正式上线试运行一个月后进行项目初步验收，初步验收合格后，中标供应商向采购人提供试运行申请单、初步验收报告，采购人审核后向中标供应商支付合同金额的15%。</w:t>
            </w:r>
          </w:p>
          <w:p>
            <w:pPr>
              <w:pStyle w:val="null3"/>
            </w:pPr>
            <w:r>
              <w:rPr/>
              <w:t>5期：支付比例10%,★系统运维服务期结束后，中标供应商向采购人提供运维服务质量考核表和最终验收报告，采购人审核后向中标供应商支付合同金额的10%。 ★注：付款要求：（1）每期款项需经采购人确认后进行支付。（2）本项目合同的每笔款项以人民币支票或银行汇款方式支付，根据项目的完成情况，采购人按上述节点支付对应款项。采购人每次付款前，中标供应商必须出具合规的等额增值税发票等凭证资料。如发生考核扣罚或违约金采购人有权在上述支付款项中扣除相应金额后再支付。收款方、出具发票方、合同乙方均必须与中标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1期：中标供应商配合采购人分阶段完成产品研发部署工作，按如下2个阶段进行验收： 1.系统完成整体部署，正式上线后并交付对应文档，试运行1个月后进行项目初步验收，根据系统试运行的要求作为初步验收的标准，初步验收合格后中标供应商向采购人提供初步验收报告、运行申请单。 2.项目初步验收合格后进入运维服务期，运维服务期1年，采购人每半年对中标供应商进行运维服务质量考核，考核合格后进行最终验收，根据运维服务期质量考核表的考核情况作为最终验收的标准，中标供应商向采购人提供运维服务质量考核表和最终验收报告。项目验收依次序对照执行标准： ①符合中华人民共和国国家和履约地相关安全质量标准、行业技术规范标准。②符合招标文件和投标承诺中采购人认可的合理最佳配置及各项要求。③双方约定的其他验收标准。</w:t>
            </w:r>
          </w:p>
        </w:tc>
      </w:tr>
      <w:tr>
        <w:tc>
          <w:tcPr>
            <w:tcW w:type="dxa" w:w="4153"/>
          </w:tcPr>
          <w:p>
            <w:pPr>
              <w:pStyle w:val="null3"/>
            </w:pPr>
            <w:r>
              <w:rPr/>
              <w:t>履约保证金</w:t>
            </w:r>
          </w:p>
        </w:tc>
        <w:tc>
          <w:tcPr>
            <w:tcW w:type="dxa" w:w="4153"/>
          </w:tcPr>
          <w:p>
            <w:pPr>
              <w:pStyle w:val="null3"/>
            </w:pPr>
            <w:r>
              <w:rPr/>
              <w:t>交纳比例：1%</w:t>
            </w:r>
          </w:p>
          <w:p>
            <w:pPr>
              <w:pStyle w:val="null3"/>
            </w:pPr>
            <w:r>
              <w:rPr/>
              <w:t>缴费渠道：</w:t>
            </w:r>
            <w:r>
              <w:rPr/>
              <w:t>电子保函（保险）</w:t>
            </w:r>
            <w:r>
              <w:rPr/>
              <w:t>、支票（本票、汇票）</w:t>
            </w:r>
            <w:r>
              <w:rPr/>
              <w:t>、其他</w:t>
            </w:r>
          </w:p>
          <w:p>
            <w:pPr>
              <w:pStyle w:val="null3"/>
            </w:pPr>
            <w:r>
              <w:rPr/>
              <w:t>账号：695173644709</w:t>
            </w:r>
          </w:p>
          <w:p>
            <w:pPr>
              <w:pStyle w:val="null3"/>
            </w:pPr>
            <w:r>
              <w:rPr/>
              <w:t>户名：佛山市南海区第五人民医院</w:t>
            </w:r>
          </w:p>
          <w:p>
            <w:pPr>
              <w:pStyle w:val="null3"/>
            </w:pPr>
            <w:r>
              <w:rPr/>
              <w:t>开户行：中国银行佛山南海大沥支行</w:t>
            </w:r>
          </w:p>
          <w:p>
            <w:pPr>
              <w:pStyle w:val="null3"/>
            </w:pPr>
            <w:r>
              <w:rPr/>
              <w:t>支票提交方式：票据方式提交</w:t>
            </w:r>
          </w:p>
          <w:p>
            <w:pPr>
              <w:pStyle w:val="null3"/>
            </w:pPr>
            <w:r>
              <w:rPr/>
              <w:t>汇票、本票提交方式：票据方式提交</w:t>
            </w:r>
          </w:p>
          <w:p>
            <w:pPr>
              <w:pStyle w:val="null3"/>
            </w:pPr>
            <w:r>
              <w:rPr/>
              <w:t>说明：★（1）中标供应商于合同签订后7个工作日内以支票、汇票、本票、银行转账或者金融机构、担保机构出具的保函等非现金形式向采购人提交中标金额的1%作为履约保证金。 ★（2）在中标供应商按合同要求全部完成，收到相关资料后30日内，如中标供应商无违约行为，采购人应将履约保证金无息全额退还给中标供应商。合同因中标供应商原因产生违约，导致合同无法继续执行的情况，履约保证金不予退还。 （3）履约保证金以保函形式递交的，被没收履约保证金后或合同期间保函失效的，中标供应商须重新开具提交给采购人，且履约保函的有效期须涵盖本项目合同履行期结束。 （4）如在合同履行期间，履约保证金如有发生被采购人扣减的，中标供应商须在自扣减之日起10天内补齐履约保证金的金额，否则，视中标供应商违约，采购人有权单方面解除合同并有权要求中标供应商作出赔偿。 注：上述保函是指不可撤销、不可转让的见索即付独立保函。</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费用承担</w:t>
            </w:r>
          </w:p>
        </w:tc>
        <w:tc>
          <w:tcPr>
            <w:tcW w:type="dxa" w:w="2076"/>
          </w:tcPr>
          <w:p>
            <w:pPr>
              <w:pStyle w:val="null3"/>
              <w:jc w:val="left"/>
            </w:pPr>
            <w:r>
              <w:rPr/>
              <w:t>1.1投标人的报价不得高于本项目预算金额，否则视为无效投标。 1.2 本项目实行总价包干（费用包含在投标总价内）。 1.3本项目投标报价必须包含但不限于人员实施费用、技术培训费，所有的税费、合同实施过程中的应预见和不可预见费用等。投标人在投标文件的报价须包含完成该项目发生的全部费用。如果投标人在中标并签署合同后，在服务期内出现的任何遗漏，均由投标人负责，采购人将不再支付任何费用。 1.4项目合同金额应包含采购项目的全部费用，在合同期限内，项目服务费不以任何理由而增加。中标供应商必须根据企业自身的成本核算情况，充分考虑服务期内物价水平、服务人员薪金的波动风险。一经投标，即认为中标供应商已充分考虑有关风险，愿意承担因这些风险所造成的一切经济损失，并放弃因此造成的损失求偿权。中标后，采购人按中标价支付费用，并在服务期内对中标价不作任何的调整。</w:t>
            </w:r>
          </w:p>
        </w:tc>
      </w:tr>
      <w:tr>
        <w:tc>
          <w:tcPr>
            <w:tcW w:type="dxa" w:w="2076"/>
          </w:tcPr>
          <w:p/>
        </w:tc>
        <w:tc>
          <w:tcPr>
            <w:tcW w:type="dxa" w:w="2076"/>
          </w:tcPr>
          <w:p>
            <w:pPr>
              <w:pStyle w:val="null3"/>
              <w:jc w:val="center"/>
            </w:pPr>
            <w:r>
              <w:rPr/>
              <w:t>2</w:t>
            </w:r>
          </w:p>
        </w:tc>
        <w:tc>
          <w:tcPr>
            <w:tcW w:type="dxa" w:w="2076"/>
          </w:tcPr>
          <w:p>
            <w:pPr>
              <w:pStyle w:val="null3"/>
              <w:jc w:val="left"/>
            </w:pPr>
            <w:r>
              <w:rPr/>
              <w:t>试运行</w:t>
            </w:r>
          </w:p>
        </w:tc>
        <w:tc>
          <w:tcPr>
            <w:tcW w:type="dxa" w:w="2076"/>
          </w:tcPr>
          <w:p>
            <w:pPr>
              <w:pStyle w:val="null3"/>
              <w:jc w:val="left"/>
            </w:pPr>
            <w:r>
              <w:rPr/>
              <w:t>2.1试运行期自系统完成部署并交付使用正式上线之日起1个月。试运行期内，系统出现的所有问题，中标供应商须及时解决、调整并做好记录，此记录将作为初步验收的依据之一。试运行期结束，如系统没有发生较大问题(不影响系统使用)，视为初步验收合格;如系统仍有较大问题(影响系统正常使用)未解决，采购人有权终止合同，并要求中标供应商赔偿损失。</w:t>
            </w:r>
          </w:p>
        </w:tc>
      </w:tr>
      <w:tr>
        <w:tc>
          <w:tcPr>
            <w:tcW w:type="dxa" w:w="2076"/>
          </w:tcPr>
          <w:p/>
        </w:tc>
        <w:tc>
          <w:tcPr>
            <w:tcW w:type="dxa" w:w="2076"/>
          </w:tcPr>
          <w:p>
            <w:pPr>
              <w:pStyle w:val="null3"/>
              <w:jc w:val="center"/>
            </w:pPr>
            <w:r>
              <w:rPr/>
              <w:t>3</w:t>
            </w:r>
          </w:p>
        </w:tc>
        <w:tc>
          <w:tcPr>
            <w:tcW w:type="dxa" w:w="2076"/>
          </w:tcPr>
          <w:p>
            <w:pPr>
              <w:pStyle w:val="null3"/>
              <w:jc w:val="left"/>
            </w:pPr>
            <w:r>
              <w:rPr/>
              <w:t>运维服务要求</w:t>
            </w:r>
          </w:p>
        </w:tc>
        <w:tc>
          <w:tcPr>
            <w:tcW w:type="dxa" w:w="2076"/>
          </w:tcPr>
          <w:p>
            <w:pPr>
              <w:pStyle w:val="null3"/>
              <w:jc w:val="left"/>
            </w:pPr>
            <w:r>
              <w:rPr/>
              <w:t>3.1运维服务期：自初步验收合格之日起一年。 运维服务期满后为有偿维护，每年维护费用收取标准不超过合同金额的10%； 3.2故障响应：运维服务期内，在接到采购人的服务要求通知后，10分钟内给予采购人明确答复，售后服务人员将在2小时内进行在线和远程技术支持。一般问题2小时内解决；较大问题在4小时以内解决；重大问题4小时内提出解决方案，并在24小时内解决。 3.3运维服务：每6个月提供一次上门运维巡检服务，巡检内容包括对本项目所涉及的系统设备进行巡检，形成巡检报告，保证系统运行正常。 3.4技术培训：提供不少于4次的人员的培训，包括但不限于操作培训、面对面培训、保养培训和维修培训，并提供对部分采购人操作人员简单故障排除方法的培训。同时提供书面承诺和培训方案，并对相关技术问题进行充分交流，使采购人操作人员能熟练使用现有系统；培训操作人员至熟悉为止。 3.5信息安全保证：系统的安全性和保密性必须严格遵循相关信息安全标准，切实保证在系统使用的各个环节均能最大限度保障信息安全，杜绝各类漏洞及错误的出现。 3.6 运维服务：运维服务期内，中标供应商需提供全面的运维服务，包括但不限于系统日常运行监控、定期巡检、性能优化、数据备份与恢复等，确保系统持续稳定、高效运行。中标供应商应每6个月提供系统运行状态报告，并在发生潜在风险时及时预警和处置，保障采购人业务正常开展。</w:t>
            </w:r>
          </w:p>
        </w:tc>
      </w:tr>
      <w:tr>
        <w:tc>
          <w:tcPr>
            <w:tcW w:type="dxa" w:w="2076"/>
          </w:tcPr>
          <w:p/>
        </w:tc>
        <w:tc>
          <w:tcPr>
            <w:tcW w:type="dxa" w:w="2076"/>
          </w:tcPr>
          <w:p>
            <w:pPr>
              <w:pStyle w:val="null3"/>
              <w:jc w:val="center"/>
            </w:pPr>
            <w:r>
              <w:rPr/>
              <w:t>4</w:t>
            </w:r>
          </w:p>
        </w:tc>
        <w:tc>
          <w:tcPr>
            <w:tcW w:type="dxa" w:w="2076"/>
          </w:tcPr>
          <w:p>
            <w:pPr>
              <w:pStyle w:val="null3"/>
              <w:jc w:val="left"/>
            </w:pPr>
            <w:r>
              <w:rPr/>
              <w:t>项目文档与交付要求</w:t>
            </w:r>
          </w:p>
        </w:tc>
        <w:tc>
          <w:tcPr>
            <w:tcW w:type="dxa" w:w="2076"/>
          </w:tcPr>
          <w:p>
            <w:pPr>
              <w:pStyle w:val="null3"/>
              <w:jc w:val="left"/>
            </w:pPr>
            <w:r>
              <w:rPr/>
              <w:t>中标供应商需根据实施进度及时提供相应的过程及成果文档，包括但不限于： 4.1启动阶段：《项目实施方案》等； 4.2需求分析阶段：《需求说明书》等； 4.3设计阶段：《系统概要设计说明书》 《系统详细设计说明书》 《数据库设计说明书》等； 4.4测试阶段：《测试计划》 《测试分析报告》等； 4.5试运行阶段：《试运行计划》 《试运行报告》等； 4.6过程文档：《会议纪要》 《实施周报》 《项目进度月报》等； 4.7交付使用：《用户操作手册》 《系统管理员手册》 《系统安装维护手册》（包括系统配置手册、系统参数列表）、《培训手册》 《系统安全响应应急预案》等； 4.8项目合同期内中标供应商需配置相关专业人员配合采购人编制和印发与本项目相关的汇报、宣传等材料，做好相应的宣传工作。</w:t>
            </w:r>
          </w:p>
        </w:tc>
      </w:tr>
      <w:tr>
        <w:tc>
          <w:tcPr>
            <w:tcW w:type="dxa" w:w="2076"/>
          </w:tcPr>
          <w:p/>
        </w:tc>
        <w:tc>
          <w:tcPr>
            <w:tcW w:type="dxa" w:w="2076"/>
          </w:tcPr>
          <w:p>
            <w:pPr>
              <w:pStyle w:val="null3"/>
              <w:jc w:val="center"/>
            </w:pPr>
            <w:r>
              <w:rPr/>
              <w:t>5</w:t>
            </w:r>
          </w:p>
        </w:tc>
        <w:tc>
          <w:tcPr>
            <w:tcW w:type="dxa" w:w="2076"/>
          </w:tcPr>
          <w:p>
            <w:pPr>
              <w:pStyle w:val="null3"/>
              <w:jc w:val="left"/>
            </w:pPr>
            <w:r>
              <w:rPr/>
              <w:t>实施规范要求</w:t>
            </w:r>
          </w:p>
        </w:tc>
        <w:tc>
          <w:tcPr>
            <w:tcW w:type="dxa" w:w="2076"/>
          </w:tcPr>
          <w:p>
            <w:pPr>
              <w:pStyle w:val="null3"/>
              <w:jc w:val="left"/>
            </w:pPr>
            <w:r>
              <w:rPr/>
              <w:t>5.1服从采购人对建设过程及建设质量、进度等方面的监督和规范管理；5.2严格遵循采购人的相关要求，包括遵循采购人发出的工作联系单、监理通知单等监理指令，采购人将全力支持中标供应商对系统标准规范、项目工作界面和配合要求等方面的理解和实施；5.3正式启动项目前，须提交项目组织结构、项目计划和实施方案报采购人位审核，审批通过，才能申请开工实施； 5.4按照项目阶段和进度要求及时向采购人报审各项目文档，经审批通过后才能按项目文档执行实施；</w:t>
            </w:r>
          </w:p>
        </w:tc>
      </w:tr>
      <w:tr>
        <w:tc>
          <w:tcPr>
            <w:tcW w:type="dxa" w:w="2076"/>
          </w:tcPr>
          <w:p/>
        </w:tc>
        <w:tc>
          <w:tcPr>
            <w:tcW w:type="dxa" w:w="2076"/>
          </w:tcPr>
          <w:p>
            <w:pPr>
              <w:pStyle w:val="null3"/>
              <w:jc w:val="center"/>
            </w:pPr>
            <w:r>
              <w:rPr/>
              <w:t>6</w:t>
            </w:r>
          </w:p>
        </w:tc>
        <w:tc>
          <w:tcPr>
            <w:tcW w:type="dxa" w:w="2076"/>
          </w:tcPr>
          <w:p>
            <w:pPr>
              <w:pStyle w:val="null3"/>
              <w:jc w:val="left"/>
            </w:pPr>
            <w:r>
              <w:rPr/>
              <w:t>免责条款</w:t>
            </w:r>
          </w:p>
        </w:tc>
        <w:tc>
          <w:tcPr>
            <w:tcW w:type="dxa" w:w="2076"/>
          </w:tcPr>
          <w:p>
            <w:pPr>
              <w:pStyle w:val="null3"/>
              <w:jc w:val="left"/>
            </w:pPr>
            <w:r>
              <w:rPr/>
              <w:t>6.1中标供应商实施人员在采购人进行项目实施过程中，出现任何非采购人原因而造成的财产损失、人身伤害或意外等事件，其事件结果均应由中标供应商全权承担。</w:t>
            </w:r>
          </w:p>
        </w:tc>
      </w:tr>
      <w:tr>
        <w:tc>
          <w:tcPr>
            <w:tcW w:type="dxa" w:w="2076"/>
          </w:tcPr>
          <w:p/>
        </w:tc>
        <w:tc>
          <w:tcPr>
            <w:tcW w:type="dxa" w:w="2076"/>
          </w:tcPr>
          <w:p>
            <w:pPr>
              <w:pStyle w:val="null3"/>
              <w:jc w:val="center"/>
            </w:pPr>
            <w:r>
              <w:rPr/>
              <w:t>7</w:t>
            </w:r>
          </w:p>
        </w:tc>
        <w:tc>
          <w:tcPr>
            <w:tcW w:type="dxa" w:w="2076"/>
          </w:tcPr>
          <w:p>
            <w:pPr>
              <w:pStyle w:val="null3"/>
              <w:jc w:val="left"/>
            </w:pPr>
            <w:r>
              <w:rPr/>
              <w:t>知识产权</w:t>
            </w:r>
          </w:p>
        </w:tc>
        <w:tc>
          <w:tcPr>
            <w:tcW w:type="dxa" w:w="2076"/>
          </w:tcPr>
          <w:p>
            <w:pPr>
              <w:pStyle w:val="null3"/>
              <w:jc w:val="left"/>
            </w:pPr>
            <w:r>
              <w:rPr/>
              <w:t>7.1中标供应商应保证本项目的投标技术、服务或其任何一部分不会产生因第三方提出侵犯其专利权、商标权或其他知识产权而引起的法律和经济纠纷；如因第三方提出其专利权、商标权等知识产权或其他权益的侵权之诉，则一切法律责任由中标供应商承担。 7.2本项目所产出的软件源代码、技术文档等成果知识产权归采购人所有。</w:t>
            </w:r>
          </w:p>
        </w:tc>
      </w:tr>
      <w:tr>
        <w:tc>
          <w:tcPr>
            <w:tcW w:type="dxa" w:w="2076"/>
          </w:tcPr>
          <w:p/>
        </w:tc>
        <w:tc>
          <w:tcPr>
            <w:tcW w:type="dxa" w:w="2076"/>
          </w:tcPr>
          <w:p>
            <w:pPr>
              <w:pStyle w:val="null3"/>
              <w:jc w:val="center"/>
            </w:pPr>
            <w:r>
              <w:rPr/>
              <w:t>8</w:t>
            </w:r>
          </w:p>
        </w:tc>
        <w:tc>
          <w:tcPr>
            <w:tcW w:type="dxa" w:w="2076"/>
          </w:tcPr>
          <w:p>
            <w:pPr>
              <w:pStyle w:val="null3"/>
              <w:jc w:val="left"/>
            </w:pPr>
            <w:r>
              <w:rPr/>
              <w:t>保密条款</w:t>
            </w:r>
          </w:p>
        </w:tc>
        <w:tc>
          <w:tcPr>
            <w:tcW w:type="dxa" w:w="2076"/>
          </w:tcPr>
          <w:p>
            <w:pPr>
              <w:pStyle w:val="null3"/>
              <w:jc w:val="left"/>
            </w:pPr>
            <w:r>
              <w:rPr/>
              <w:t>8.1中标供应商必须如约承担合同履行时所应该尽的一切保密义务。中标供应商及其参与本项目的所有工作人员均须对采购人信息、项目实施过程中的资料、数据进行保密，未经采购人书面同意不得泄露给第三方，否则，采购人保留追究中标供应商法律责任的权利。保密责任不因合同的中止或解除而失效。 8.2与本项目有关采购人的信息、项目实施过程中的资料、数据等所有资料（包括但不限于文字、图片、声像资料、电子数据等）均属采购人所有，中标供应商及其参与本项目的所有工作人员在本合同有效期内或合同终止后，不得泄露，也不得超越本项目实施范围使用。</w:t>
            </w:r>
          </w:p>
        </w:tc>
      </w:tr>
      <w:tr>
        <w:tc>
          <w:tcPr>
            <w:tcW w:type="dxa" w:w="2076"/>
          </w:tcPr>
          <w:p/>
        </w:tc>
        <w:tc>
          <w:tcPr>
            <w:tcW w:type="dxa" w:w="2076"/>
          </w:tcPr>
          <w:p>
            <w:pPr>
              <w:pStyle w:val="null3"/>
              <w:jc w:val="center"/>
            </w:pPr>
            <w:r>
              <w:rPr/>
              <w:t>9</w:t>
            </w:r>
          </w:p>
        </w:tc>
        <w:tc>
          <w:tcPr>
            <w:tcW w:type="dxa" w:w="2076"/>
          </w:tcPr>
          <w:p>
            <w:pPr>
              <w:pStyle w:val="null3"/>
              <w:jc w:val="left"/>
            </w:pPr>
            <w:r>
              <w:rPr/>
              <w:t>投诉跟踪服务要求</w:t>
            </w:r>
          </w:p>
        </w:tc>
        <w:tc>
          <w:tcPr>
            <w:tcW w:type="dxa" w:w="2076"/>
          </w:tcPr>
          <w:p>
            <w:pPr>
              <w:pStyle w:val="null3"/>
              <w:jc w:val="left"/>
            </w:pPr>
            <w:r>
              <w:rPr/>
              <w:t>9.1中标供应商须提供常设的投诉热线服务，并对投诉内容进行及时跟踪、回访。对采购人的投诉与通知，必须按采购人指定的时间内处理完毕，若特发事件不能在短时间内解决，中标供应商必须采取应急措施，或按采购人认可的应急方案执行，不得影响采购人的正常工作业务。 9.2合同履行期限内，采购人有权按本项目的管理要求对中标供应商进行不定期抽查检查，若对不合格的管理服务提出警告后，仍未得到有效解决时，采购人有权终止采购合同。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数据运维管控体系建设</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2,990,000.00</w:t>
            </w:r>
          </w:p>
        </w:tc>
        <w:tc>
          <w:tcPr>
            <w:tcW w:type="dxa" w:w="933"/>
          </w:tcPr>
          <w:p>
            <w:pPr>
              <w:pStyle w:val="null3"/>
              <w:jc w:val="right"/>
            </w:pPr>
            <w:r>
              <w:rPr/>
              <w:t>2,990,000.00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数据运维管控体系建设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（一）项目概况</w:t>
            </w:r>
          </w:p>
          <w:p>
            <w:pPr>
              <w:pStyle w:val="null3"/>
              <w:jc w:val="both"/>
            </w:pPr>
            <w:r>
              <w:rPr>
                <w:sz w:val="24"/>
                <w:b/>
              </w:rPr>
              <w:t>1.1 项目介绍</w:t>
            </w:r>
          </w:p>
          <w:p>
            <w:pPr>
              <w:pStyle w:val="null3"/>
              <w:ind w:firstLine="420"/>
              <w:jc w:val="left"/>
            </w:pPr>
            <w:r>
              <w:rPr>
                <w:sz w:val="24"/>
              </w:rPr>
              <w:t>佛山市南海区第五、第六、第七人民医院目前已整合发展为佛山大学附属第三医院，本项目旨在建设一套先进的数据运维与管控平台，涵盖多院区、多系统的统一数据存储、管理和分析的软件层基础设施。平台将采用全栈本土化及自主化技术和本国编程语言开发，并全面支持本国芯片、本国服务器等硬件设备，确保技术体系自主可控。核心功能包括分布式磁盘管理、目录与标签管理、元数据管理和数据检索，同时支持大规模数据管理与智能处理、实时分析、数据集管理和预训练模型管理。通过统一的数据技术架构，平台可实现各业务系统的数据汇聚和共享，避免多院区、多系统重复建设。</w:t>
            </w:r>
          </w:p>
          <w:p>
            <w:pPr>
              <w:pStyle w:val="null3"/>
              <w:jc w:val="both"/>
            </w:pPr>
            <w:r>
              <w:rPr>
                <w:sz w:val="24"/>
                <w:b/>
              </w:rPr>
              <w:t>1.2 项目建设目标</w:t>
            </w:r>
          </w:p>
          <w:p>
            <w:pPr>
              <w:pStyle w:val="null3"/>
              <w:ind w:firstLine="420"/>
              <w:jc w:val="both"/>
            </w:pPr>
            <w:r>
              <w:rPr>
                <w:sz w:val="24"/>
              </w:rPr>
              <w:t>(1)开发统一的数据运维与管控平台：平台将集中管理医院各院区和不同系统间的数据，通过统一的技术架构提供数据存储、处理与分析的能力，确保数据流通和共享的高效性。该平台将作为中间层软件系统，为医院的其他业务系统提供数据支撑与服务，减少多院区、多系统运营过程中的存储设施重复建设。</w:t>
            </w:r>
          </w:p>
          <w:p>
            <w:pPr>
              <w:pStyle w:val="null3"/>
              <w:ind w:firstLine="420"/>
              <w:jc w:val="both"/>
            </w:pPr>
            <w:r>
              <w:rPr>
                <w:sz w:val="24"/>
              </w:rPr>
              <w:t>(2)支持全栈本土化及自主化技术与硬件：平台采用全栈本国技术和本国编程语言进行平台开发，确保技术自主可控，并全面适配本国服务器、本国芯片等硬件设施，构建自主可控的架构体系，支撑医院信息化的可持续发展。</w:t>
            </w:r>
          </w:p>
          <w:p>
            <w:pPr>
              <w:pStyle w:val="null3"/>
              <w:ind w:firstLine="420"/>
              <w:jc w:val="both"/>
            </w:pPr>
            <w:r>
              <w:rPr>
                <w:sz w:val="24"/>
              </w:rPr>
              <w:t>(3)动态扩容与高效存取：平台具备大规模数据管理和智能处理能力，支持横向扩展以应对数据快速增长。通过分布式存储和元数据索引等技术，保证数据存储与访问的高效性。</w:t>
            </w:r>
          </w:p>
          <w:p>
            <w:pPr>
              <w:pStyle w:val="null3"/>
              <w:ind w:firstLine="420"/>
              <w:jc w:val="both"/>
            </w:pPr>
            <w:r>
              <w:rPr>
                <w:sz w:val="24"/>
              </w:rPr>
              <w:t>(4)高效数据存储与检索：利用高效存储管理与快速搜索功能，实现海量医疗数据的快速读写和分析。平台将为临床医生、科研人员和管理者提供精准的多维数据检索和实时分析能力，提升决策支持和科研效率。</w:t>
            </w:r>
          </w:p>
          <w:p>
            <w:pPr>
              <w:pStyle w:val="null3"/>
              <w:ind w:firstLine="420"/>
              <w:jc w:val="both"/>
            </w:pPr>
            <w:r>
              <w:rPr>
                <w:sz w:val="24"/>
              </w:rPr>
              <w:t>(5)医学研究与医疗模型训练支撑：平台将为医院的医学研究、临床应用和医疗模型训练提供强有力的技术支撑。通过平台的数据集管理与预训练模型管理功能，医院将能够加速医疗领域的AI模型开发与优化，如疾病预测、影像识别等。平台将助力医院在医学研究、临床决策支持及医疗模型训练等领域的发展。</w:t>
            </w:r>
          </w:p>
          <w:p>
            <w:pPr>
              <w:pStyle w:val="null3"/>
              <w:ind w:firstLine="420"/>
              <w:jc w:val="both"/>
            </w:pPr>
            <w:r>
              <w:rPr>
                <w:sz w:val="24"/>
              </w:rPr>
              <w:t>(6)提供数据治理API层支持：平台将提供标准化的数据治理API接口，实现跨系统数据共享和集成。API层支持统一的数据访问、安全审计和治理功能，为未来智慧医疗应用提供稳定的数据基础。平台目标是建立完备的数据治理能力，确保数据的合规使用和高效流通。</w:t>
            </w:r>
          </w:p>
          <w:p>
            <w:pPr>
              <w:pStyle w:val="null3"/>
              <w:jc w:val="both"/>
            </w:pPr>
            <w:r>
              <w:rPr>
                <w:sz w:val="24"/>
                <w:b/>
              </w:rPr>
              <w:t>1.3 项目要求</w:t>
            </w:r>
          </w:p>
          <w:p>
            <w:pPr>
              <w:pStyle w:val="null3"/>
              <w:ind w:firstLine="420"/>
              <w:jc w:val="both"/>
            </w:pPr>
            <w:r>
              <w:rPr>
                <w:sz w:val="24"/>
              </w:rPr>
              <w:t>(1)技术架构设计与平台规划：负责设计平台整体架构，保证高可扩展性和可维护性，支持未来功能扩展和优化。</w:t>
            </w:r>
          </w:p>
          <w:p>
            <w:pPr>
              <w:pStyle w:val="null3"/>
              <w:ind w:firstLine="420"/>
              <w:jc w:val="both"/>
            </w:pPr>
            <w:r>
              <w:rPr>
                <w:sz w:val="24"/>
              </w:rPr>
              <w:t>(2)软件必须基于本国编程语言开发，能够与医院现有软硬件环境兼容的同时，全面支持本国硬件（如本国芯片、本国服务器等），确保平台在本国环境下的稳定运行。</w:t>
            </w:r>
          </w:p>
          <w:p>
            <w:pPr>
              <w:pStyle w:val="null3"/>
              <w:ind w:firstLine="420"/>
              <w:jc w:val="both"/>
            </w:pPr>
            <w:r>
              <w:rPr>
                <w:sz w:val="24"/>
              </w:rPr>
              <w:t>(3)功能部署与实施：在医院生产环境部署并集成所有功能模块，包含系统安装、配置和集成测试，并完成最终验收。确保系统按时上线、稳定运行，满足医院日常业务需求。</w:t>
            </w:r>
          </w:p>
          <w:p>
            <w:pPr>
              <w:pStyle w:val="null3"/>
              <w:ind w:firstLine="420"/>
              <w:jc w:val="both"/>
            </w:pPr>
            <w:r>
              <w:rPr>
                <w:sz w:val="24"/>
              </w:rPr>
              <w:t>(4)系统性能测试与优化：进行负载、压力和并发测试，评估平台在高负载、大并发场景下的性能，根据测试结果提供优化方案，确保平台能够高效处理海量数据请求。</w:t>
            </w:r>
          </w:p>
          <w:p>
            <w:pPr>
              <w:pStyle w:val="null3"/>
              <w:ind w:firstLine="420"/>
              <w:jc w:val="both"/>
            </w:pPr>
            <w:r>
              <w:rPr>
                <w:sz w:val="24"/>
              </w:rPr>
              <w:t>(5)技术支持与维护服务：提供项目验收后12个月的运维支持，包括定期检查、版本升级、故障排除和技术咨询等。确保平台在运营期间持续稳定，及时响应并解决系统运行中出现的问题。</w:t>
            </w:r>
          </w:p>
          <w:p>
            <w:pPr>
              <w:pStyle w:val="null3"/>
              <w:ind w:firstLine="420"/>
              <w:jc w:val="both"/>
            </w:pPr>
            <w:r>
              <w:rPr>
                <w:sz w:val="24"/>
              </w:rPr>
              <w:t>(6)技术转移与人员转移：项目完成后，服务方应将技术成果与知识传递给医院技术团队，包括完整的源代码、设计文档和架构说明，使医院能够独立进行后续开发、维护和优化。同时，技术服务方应支持项目的关键工程师的劳动关系转移，协助医院聘用相关技术人员，进行后续的技术支持与系统优化。</w:t>
            </w:r>
          </w:p>
          <w:p>
            <w:pPr>
              <w:pStyle w:val="null3"/>
            </w:pPr>
            <w:r>
              <w:rPr>
                <w:sz w:val="24"/>
                <w:b/>
              </w:rPr>
              <w:t>1.4项目组织与人员要求</w:t>
            </w:r>
          </w:p>
          <w:p>
            <w:pPr>
              <w:pStyle w:val="null3"/>
            </w:pPr>
            <w:r>
              <w:rPr>
                <w:sz w:val="24"/>
              </w:rPr>
              <w:t>（</w:t>
            </w:r>
            <w:r>
              <w:rPr>
                <w:sz w:val="24"/>
              </w:rPr>
              <w:t>1）中标供应商需针对此项目组织专门项目团队，指定一名专职的项目负责人，负责项目过程管理、各项资源协调和调度等工作。本项目为行业应用软件开发服务类项目，项目负责人应具有计算机类或管理类相关专业硕士及以上学历，需统筹技术研发、部署实施、质量交付、协同协调等多维管理任务，同时需具备信息系统项目管理能力、IT服务项目管理、网络信息安全管理等能力，以提升管理与服务体系建设水平。</w:t>
            </w:r>
          </w:p>
          <w:p>
            <w:pPr>
              <w:pStyle w:val="null3"/>
            </w:pPr>
            <w:r>
              <w:rPr>
                <w:sz w:val="24"/>
              </w:rPr>
              <w:t>（</w:t>
            </w:r>
            <w:r>
              <w:rPr>
                <w:sz w:val="24"/>
              </w:rPr>
              <w:t>2）中标供应商在项目实施期内，须安排技术负责人及至少3名项目核心技术人员按采购人要求提供现场服务，负责项目现场的沟通、实施、推进、问题处理等协调工作。技术负责人应具有计算机相关专业本科及以上学历，需具备信息系统项目管理能力，技术负责人及项目核心技术人员需具备网络信息安全保障、系统分析、系统集成项目管理、系统架构设计、软件设计、IT服务项目管理等能力。</w:t>
            </w:r>
          </w:p>
          <w:p>
            <w:pPr>
              <w:pStyle w:val="null3"/>
              <w:ind w:firstLine="420"/>
            </w:pPr>
            <w:r>
              <w:rPr>
                <w:sz w:val="24"/>
              </w:rPr>
              <w:t>（</w:t>
            </w:r>
            <w:r>
              <w:rPr>
                <w:sz w:val="24"/>
              </w:rPr>
              <w:t>3）项目团队人员不可兼任，必须按照投标文件中的拟投入人员的人数</w:t>
            </w:r>
            <w:r>
              <w:rPr>
                <w:sz w:val="24"/>
              </w:rPr>
              <w:t>结合</w:t>
            </w:r>
            <w:r>
              <w:rPr>
                <w:sz w:val="24"/>
              </w:rPr>
              <w:t>采购人</w:t>
            </w:r>
            <w:r>
              <w:rPr>
                <w:sz w:val="24"/>
              </w:rPr>
              <w:t>和项目</w:t>
            </w:r>
            <w:r>
              <w:rPr>
                <w:sz w:val="24"/>
              </w:rPr>
              <w:t>实际需求进行驻场</w:t>
            </w:r>
            <w:r>
              <w:rPr>
                <w:sz w:val="24"/>
              </w:rPr>
              <w:t>投入项目的实施，项目团队应具备投标文件中对应资质，如因成员能力不足，导致项目实施延期或不能达到本项目的要求，中标供应商应</w:t>
            </w:r>
            <w:r>
              <w:rPr>
                <w:sz w:val="24"/>
              </w:rPr>
              <w:t>自</w:t>
            </w:r>
            <w:r>
              <w:rPr>
                <w:sz w:val="24"/>
              </w:rPr>
              <w:t>违约之日起每日按合同总额的</w:t>
            </w:r>
            <w:r>
              <w:rPr>
                <w:sz w:val="24"/>
              </w:rPr>
              <w:t>3‰比例向</w:t>
            </w:r>
            <w:r>
              <w:rPr>
                <w:sz w:val="24"/>
              </w:rPr>
              <w:t>采购人</w:t>
            </w:r>
            <w:r>
              <w:rPr>
                <w:sz w:val="24"/>
              </w:rPr>
              <w:t>支付违约金；项目延期或不能达到本项目的要求</w:t>
            </w:r>
            <w:r>
              <w:rPr>
                <w:sz w:val="24"/>
              </w:rPr>
              <w:t>超过</w:t>
            </w:r>
            <w:r>
              <w:rPr>
                <w:sz w:val="24"/>
              </w:rPr>
              <w:t>15日以上时，</w:t>
            </w:r>
            <w:r>
              <w:rPr>
                <w:sz w:val="24"/>
              </w:rPr>
              <w:t>采购人</w:t>
            </w:r>
            <w:r>
              <w:rPr>
                <w:sz w:val="24"/>
              </w:rPr>
              <w:t>有权终止合同，由此造成</w:t>
            </w:r>
            <w:r>
              <w:rPr>
                <w:sz w:val="24"/>
              </w:rPr>
              <w:t>采购人</w:t>
            </w:r>
            <w:r>
              <w:rPr>
                <w:sz w:val="24"/>
              </w:rPr>
              <w:t>的经济损失由</w:t>
            </w:r>
            <w:r>
              <w:rPr>
                <w:sz w:val="24"/>
              </w:rPr>
              <w:t>中标供应商</w:t>
            </w:r>
            <w:r>
              <w:rPr>
                <w:sz w:val="24"/>
              </w:rPr>
              <w:t>承担。</w:t>
            </w:r>
          </w:p>
          <w:p>
            <w:pPr>
              <w:pStyle w:val="null3"/>
              <w:ind w:firstLine="420"/>
            </w:pPr>
            <w:r>
              <w:rPr>
                <w:sz w:val="24"/>
              </w:rPr>
              <w:t>（</w:t>
            </w:r>
            <w:r>
              <w:rPr>
                <w:sz w:val="24"/>
              </w:rPr>
              <w:t>4）</w:t>
            </w:r>
            <w:r>
              <w:rPr>
                <w:sz w:val="24"/>
              </w:rPr>
              <w:t>未经采购人书面同意，投标文件中的项目负责人和项目团队人员不得随意更换，如出现未经采购人同意随意更换人员的情况，视为中标供应商违约，中标供应商应自违约之日起每日按合同总额的</w:t>
            </w:r>
            <w:r>
              <w:rPr>
                <w:sz w:val="24"/>
              </w:rPr>
              <w:t>3‰比例向采购人支付违约金，超过15日以上时，采购人有权终止合同，由此造成采购人的经济损失由中标供应商承担。</w:t>
            </w:r>
          </w:p>
          <w:p>
            <w:pPr>
              <w:pStyle w:val="null3"/>
              <w:ind w:firstLine="420"/>
            </w:pPr>
            <w:r>
              <w:rPr>
                <w:sz w:val="24"/>
              </w:rPr>
              <w:t>（</w:t>
            </w:r>
            <w:r>
              <w:rPr>
                <w:sz w:val="24"/>
              </w:rPr>
              <w:t>5）采购人有权以书面形式要求中标供应商更换不能胜任合同履行工作的项目人员。即使是采购人要求或同意更换的人员，其代替人员的资历仍应得到采购人的认可，且其资历和经验均不低于被更换人员。由此而产生的费用由中标供应商承担。</w:t>
            </w:r>
          </w:p>
          <w:p>
            <w:pPr>
              <w:pStyle w:val="null3"/>
              <w:ind w:firstLine="420"/>
            </w:pPr>
            <w:r>
              <w:rPr>
                <w:sz w:val="24"/>
              </w:rPr>
              <w:t>（</w:t>
            </w:r>
            <w:r>
              <w:rPr>
                <w:sz w:val="24"/>
              </w:rPr>
              <w:t>6）在服务期间内，中标供应商必须按照有关规定，对本项目所有工作服务人员缴纳各种社会保险（投标人投标时需提供承诺函，格式自拟）。如服务期内中标供应商与员工发生劳动纠纷，由中标供应商自行承担全部责任；中标供应商的服务人员直接或间接的工作失误导致发生的事故(包括但不限于意外、工伤医疗事故等)，一切责任由中标供应商负责。</w:t>
            </w:r>
          </w:p>
          <w:p>
            <w:pPr>
              <w:pStyle w:val="null3"/>
              <w:jc w:val="both"/>
            </w:pPr>
            <w:r>
              <w:rPr>
                <w:sz w:val="24"/>
                <w:b/>
              </w:rPr>
              <w:t>（二）采购清单及要求</w:t>
            </w:r>
          </w:p>
          <w:p>
            <w:pPr>
              <w:pStyle w:val="null3"/>
              <w:jc w:val="both"/>
            </w:pPr>
            <w:r>
              <w:rPr>
                <w:sz w:val="24"/>
              </w:rPr>
              <w:t>1.具体采购清单及要求如下：</w:t>
            </w:r>
          </w:p>
          <w:tbl>
            <w:tblPr>
              <w:tblInd w:type="dxa" w:w="375"/>
              <w:tblBorders>
                <w:top w:val="none" w:color="000000" w:sz="4"/>
                <w:left w:val="none" w:color="000000" w:sz="4"/>
                <w:bottom w:val="none" w:color="000000" w:sz="4"/>
                <w:right w:val="none" w:color="000000" w:sz="4"/>
                <w:insideH w:val="none"/>
                <w:insideV w:val="none"/>
              </w:tblBorders>
            </w:tblPr>
            <w:tblGrid>
              <w:gridCol w:w="1083"/>
              <w:gridCol w:w="1369"/>
              <w:gridCol w:w="3145"/>
            </w:tblGrid>
            <w:tr>
              <w:tc>
                <w:tcPr>
                  <w:tcW w:type="dxa" w:w="559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数据湖基础设施层</w:t>
                  </w: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一级功能模块</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二级功能模块</w:t>
                  </w:r>
                </w:p>
              </w:tc>
              <w:tc>
                <w:tcPr>
                  <w:tcW w:type="dxa" w:w="3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功能描述</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存储模块</w:t>
                  </w: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磁盘分区与格式化</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磁盘健康监控与日志管理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数据分布与冗余管理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存储池管理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数据访问与控制</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存储权限管理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API访问管理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数据备份与恢复</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定期自动备份</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快速数据恢复</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数据加密与安全</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国密支持</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数据存储加密</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存储监控与报告</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存储性能监控</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存储资源使用监控</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存储操作日志</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系统管理模块</w:t>
                  </w: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应用注册</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应用生命周期管理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授权配置</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应用授权审计</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用户创建</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用户账户管理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角色定义</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权限配置</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权限与角色管理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权限定义与管理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权限继承与权限策略</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资源管理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资源隔离与管理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临时授权与访问控制</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持久性授权与控制</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应用接口管理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API密钥生成与管理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API访问审计</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系统日志与审计</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系统行为记录</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审计查询</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目录模块</w:t>
                  </w: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目录创建</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目录信息修改与删除</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目录生命周期管理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内容上传</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内容关联与存储</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目录访问与权限</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目录访问权限配置</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临时与长期授权</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w:t>
                  </w:r>
                  <w:r>
                    <w:rPr>
                      <w:sz w:val="24"/>
                    </w:rPr>
                    <w:t>API管理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API访问与权限管理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API日志审计</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目录监控与报告</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目录操作日志</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目录存储与访问监控</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标签管理</w:t>
                  </w: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标签创建</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标签分类与层级管理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标签与数据关联</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标签更新与删除</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标签全局管理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全局标签库管理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标签共享与使用统计</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标签权限管理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标签访问权限配置</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w:t>
                  </w:r>
                  <w:r>
                    <w:rPr>
                      <w:sz w:val="24"/>
                    </w:rPr>
                    <w:t>API管理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w:t>
                  </w:r>
                  <w:r>
                    <w:rPr>
                      <w:sz w:val="24"/>
                    </w:rPr>
                    <w:t>API访问与操作</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w:t>
                  </w:r>
                  <w:r>
                    <w:rPr>
                      <w:sz w:val="24"/>
                    </w:rPr>
                    <w:t>API日志审计</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元数据管理</w:t>
                  </w: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标准计算机文件元数据定义</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自定义元数据定义</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元数据分类与层级管理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元数据批量导入与导出</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元数据查询与访问</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高效查询</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元数据索引</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元数据安全与审计</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访问权限管理</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审计与日志记录</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数据利用服务</w:t>
                  </w: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数据搜索</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多维度搜索</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支持复杂查询</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统计与看板</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数据汇总统计</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数据趋势分析</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数据可视化看板</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API接口</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数据搜索</w:t>
                  </w:r>
                  <w:r>
                    <w:rPr>
                      <w:sz w:val="24"/>
                    </w:rPr>
                    <w:t>API</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统计与看板</w:t>
                  </w:r>
                  <w:r>
                    <w:rPr>
                      <w:sz w:val="24"/>
                    </w:rPr>
                    <w:t>API</w:t>
                  </w:r>
                </w:p>
              </w:tc>
            </w:tr>
            <w:tr>
              <w:tc>
                <w:tcPr>
                  <w:tcW w:type="dxa" w:w="1083"/>
                  <w:vMerge/>
                  <w:tcBorders>
                    <w:top w:val="none" w:color="000000" w:sz="4"/>
                    <w:left w:val="singl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缓存与优化</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数据缓存加速</w:t>
                  </w:r>
                </w:p>
              </w:tc>
            </w:tr>
            <w:tr>
              <w:tc>
                <w:tcPr>
                  <w:tcW w:type="dxa" w:w="1083"/>
                  <w:vMerge/>
                  <w:tcBorders>
                    <w:top w:val="none" w:color="000000" w:sz="4"/>
                    <w:left w:val="singl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缓存更新策略</w:t>
                  </w:r>
                </w:p>
              </w:tc>
            </w:tr>
            <w:tr>
              <w:tc>
                <w:tcPr>
                  <w:tcW w:type="dxa" w:w="559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数据运维应用层</w:t>
                  </w: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一级功能模块</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二级功能模块</w:t>
                  </w:r>
                </w:p>
              </w:tc>
              <w:tc>
                <w:tcPr>
                  <w:tcW w:type="dxa" w:w="3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功能描述</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数据访问与接口管理</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数据写入与查询</w:t>
                  </w:r>
                  <w:r>
                    <w:rPr>
                      <w:sz w:val="24"/>
                    </w:rPr>
                    <w:t>API</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1、数据写入：支持应用通过API将数据提交到数据平台，包括文件上传、数据记录保存等。上传的数据应根据数据类型和存储策略进行存储，支持多种文件格式。</w:t>
                  </w:r>
                  <w:r>
                    <w:br/>
                  </w:r>
                  <w:r>
                    <w:rPr>
                      <w:sz w:val="24"/>
                    </w:rPr>
                    <w:t>2、数据查询：提供基于多维度的查询功能，包括时间范围、标签、目录、元数据等多种条件组合的查询。支持分页查询和数据筛选。</w:t>
                  </w:r>
                  <w:r>
                    <w:br/>
                  </w:r>
                  <w:r>
                    <w:rPr>
                      <w:sz w:val="24"/>
                    </w:rPr>
                    <w:t>3、数据更新：允许通过API更新已存储的数据，支持数据修改、替换等操作。</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权限控制与访问管理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1、权限定义：管理员可以为不同角色和用户定义数据访问权限，确保每个用户只能访问自己有权限的数据。</w:t>
                  </w:r>
                  <w:r>
                    <w:br/>
                  </w:r>
                  <w:r>
                    <w:rPr>
                      <w:sz w:val="24"/>
                    </w:rPr>
                    <w:t>2、API访问控制：为每个API接口配置访问权限，确保只有授权的应用或用户才能调用API进行数据读写操作。</w:t>
                  </w:r>
                  <w:r>
                    <w:br/>
                  </w:r>
                  <w:r>
                    <w:rPr>
                      <w:sz w:val="24"/>
                    </w:rPr>
                    <w:t>3、临时与长期授权：支持为特定应用或用户提供临时授权，授权过期后自动失效；同时支持长期授权，确保长期使用的应用可持续访问数据。</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API审计与日志管理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1、API操作日志：记录所有API操作的详细信息，包括访问时间、调用用户、API请求内容、响应状态、数据操作等。</w:t>
                  </w:r>
                  <w:r>
                    <w:br/>
                  </w:r>
                  <w:r>
                    <w:rPr>
                      <w:sz w:val="24"/>
                    </w:rPr>
                    <w:t>2、审计功能：提供日志查询和审计功能，帮助管理员检查所有数据操作的合法性，及时发现异常操作。</w:t>
                  </w:r>
                  <w:r>
                    <w:br/>
                  </w:r>
                  <w:r>
                    <w:rPr>
                      <w:sz w:val="24"/>
                    </w:rPr>
                    <w:t>3、日志存储与管理：确保所有API操作日志能长期存储并支持快速检索。</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数据访问控制与加密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1、数据加密：所有传输的数据应进行加密，包括在API请求与响应过程中的数据传输。特别是敏感信息（如医疗数据、个人信息）应进行加密。</w:t>
                  </w:r>
                  <w:r>
                    <w:br/>
                  </w:r>
                  <w:r>
                    <w:rPr>
                      <w:sz w:val="24"/>
                    </w:rPr>
                    <w:t>2、加密存储：存储在平台中的敏感数据应进行加密，防止在数据泄露时被非法读取。</w:t>
                  </w:r>
                  <w:r>
                    <w:br/>
                  </w:r>
                  <w:r>
                    <w:rPr>
                      <w:sz w:val="24"/>
                    </w:rPr>
                    <w:t>3、密钥管理：平台应支持密钥管理机制，用于加密和解密数据，并支持密钥的轮换、更新。</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数据访问日志管理与审计</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1、访问行为记录：系统应记录每次数据访问的详细信息，包括访问时间、访问用户、操作类型、访问数据、成功/失败状态等。</w:t>
                  </w:r>
                  <w:r>
                    <w:br/>
                  </w:r>
                  <w:r>
                    <w:rPr>
                      <w:sz w:val="24"/>
                    </w:rPr>
                    <w:t>2、日志查询与分析：提供管理员查询访问日志的功能，支持按时间、用户、操作类型等多维度查询访问日志。</w:t>
                  </w:r>
                  <w:r>
                    <w:br/>
                  </w:r>
                  <w:r>
                    <w:rPr>
                      <w:sz w:val="24"/>
                    </w:rPr>
                    <w:t>3、审计报告生成：能够根据访问日志自动生成审计报告，确保合规性检查。</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数据源接入与数据抓取模块</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数据源接入</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1、数据库接入：支持通过标准的SQL协议（如JDBC、ODBC）连接和访问不同类型的数据库（如MySQL、PostgreSQL、Oracle等），从数据库中提取数据。</w:t>
                  </w:r>
                  <w:r>
                    <w:br/>
                  </w:r>
                  <w:r>
                    <w:rPr>
                      <w:sz w:val="24"/>
                    </w:rPr>
                    <w:t>2、API接口接入：支持通过RESTful API、SOAP等协议从外部系统获取数据，能够处理API的身份验证、分页等功能。</w:t>
                  </w:r>
                  <w:r>
                    <w:br/>
                  </w:r>
                  <w:r>
                    <w:rPr>
                      <w:sz w:val="24"/>
                    </w:rPr>
                    <w:t>3、文件系统接入：支持从文件系统（如本地文件、HDFS、FTP服务器等）获取数据，支持多种文件格式（如CSV、JSON、XML等）的读取。</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数据抓取与同步</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1、定期数据抓取：支持定期从外部数据源抓取数据并导入数据湖，支持配置抓取频率（如每天、每小时等）。</w:t>
                  </w:r>
                  <w:r>
                    <w:br/>
                  </w:r>
                  <w:r>
                    <w:rPr>
                      <w:sz w:val="24"/>
                    </w:rPr>
                    <w:t>2、按需数据抓取：支持手动触发数据抓取操作，根据需求实时从外部系统获取数据。</w:t>
                  </w:r>
                  <w:r>
                    <w:br/>
                  </w:r>
                  <w:r>
                    <w:rPr>
                      <w:sz w:val="24"/>
                    </w:rPr>
                    <w:t>3、增量数据抓取：支持增量抓取，减少不必要的重复数据传输，优化系统性能。通过标记最新数据（如基于时间戳、ID等）进行增量更新。</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数据转换与清洗</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1、数据清洗：对导入的数据进行格式化、去除重复数据、填补缺失值等处理，确保数据的完整性和一致性。</w:t>
                  </w:r>
                  <w:r>
                    <w:br/>
                  </w:r>
                  <w:r>
                    <w:rPr>
                      <w:sz w:val="24"/>
                    </w:rPr>
                    <w:t>2、数据标准化：根据预定义的标准，对不同数据源的数据进行转换，统一字段格式、数据类型等。</w:t>
                  </w:r>
                  <w:r>
                    <w:br/>
                  </w:r>
                  <w:r>
                    <w:rPr>
                      <w:sz w:val="24"/>
                    </w:rPr>
                    <w:t>3、错误处理：对抓取的数据进行错误检测，并提供相应的错误报告和修正机制。</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数据存储与同步</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1、数据存储：将清洗后的数据存储到数据湖系统，支持多种数据存储格式（如JSON、Parquet、Avro等）与存储策略。</w:t>
                  </w:r>
                  <w:r>
                    <w:br/>
                  </w:r>
                  <w:r>
                    <w:rPr>
                      <w:sz w:val="24"/>
                    </w:rPr>
                    <w:t>2、数据同步：确保外部数据源与数据湖中的数据保持同步，避免出现数据丢失或不一致。</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异常处理与告警</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1、异常检测：实时监控数据抓取过程中的异常，发现问题时及时停止任务并生成错误报告。</w:t>
                  </w:r>
                  <w:r>
                    <w:br/>
                  </w:r>
                  <w:r>
                    <w:rPr>
                      <w:sz w:val="24"/>
                    </w:rPr>
                    <w:t>2、告警机制：为系统管理员提供告警机制，当数据抓取任务失败或发生异常时，自动发送通知（如邮件、短信等）。</w:t>
                  </w:r>
                  <w:r>
                    <w:br/>
                  </w:r>
                  <w:r>
                    <w:rPr>
                      <w:sz w:val="24"/>
                    </w:rPr>
                    <w:t>3、错误日志：记录所有数据抓取过程中的错误日志，便于问题排查和修复。</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数据处理与转化模块</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数据清洗</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1、缺失值填补：通过特定的规则或算法（如均值填充、中位数填充、插值等）填补数据中的缺失值，确保数据的完整性。</w:t>
                  </w:r>
                  <w:r>
                    <w:br/>
                  </w:r>
                  <w:r>
                    <w:rPr>
                      <w:sz w:val="24"/>
                    </w:rPr>
                    <w:t>2、重复数据去除：检查并去除数据中的重复记录，确保数据的唯一性。</w:t>
                  </w:r>
                  <w:r>
                    <w:br/>
                  </w:r>
                  <w:r>
                    <w:rPr>
                      <w:sz w:val="24"/>
                    </w:rPr>
                    <w:t>3、异常值检测与处理：对数据中的异常值进行检测，并提供修复或剔除方案，避免其影响后续的数据分析。</w:t>
                  </w:r>
                  <w:r>
                    <w:br/>
                  </w:r>
                  <w:r>
                    <w:rPr>
                      <w:sz w:val="24"/>
                    </w:rPr>
                    <w:t>4、格式化和标准化：对数据进行格式化处理（如日期格式统一、单位转换等），确保数据符合系统标准。</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数据格式转换</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1、格式转换：支持不同数据格式之间的转换，如CSV转为JSON，XML转为Parquet等。能够处理各种常见的文件格式和数据库格式。</w:t>
                  </w:r>
                  <w:r>
                    <w:br/>
                  </w:r>
                  <w:r>
                    <w:rPr>
                      <w:sz w:val="24"/>
                    </w:rPr>
                    <w:t>2、数据字段映射：对于不同数据源中字段名称不一致的情况，提供字段映射功能，确保字段名称和格式的统一性。</w:t>
                  </w:r>
                  <w:r>
                    <w:br/>
                  </w:r>
                  <w:r>
                    <w:rPr>
                      <w:sz w:val="24"/>
                    </w:rPr>
                    <w:t>3、批量转换：支持批量数据格式转换，确保大规模数据集的高效转换。</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数据标准化</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1、标准化规则：通过设定统一的标准格式（如单位、日期、数值范围等），将不同来源的异构数据转换为标准化格式。</w:t>
                  </w:r>
                  <w:r>
                    <w:br/>
                  </w:r>
                  <w:r>
                    <w:rPr>
                      <w:sz w:val="24"/>
                    </w:rPr>
                    <w:t>2、数据单位转换：处理不同数据源使用的单位不一致的情况，如长度单位转换、温度单位转换等。</w:t>
                  </w:r>
                  <w:r>
                    <w:br/>
                  </w:r>
                  <w:r>
                    <w:rPr>
                      <w:sz w:val="24"/>
                    </w:rPr>
                    <w:t>3、数据归一化：将数据进行归一化处理（如对数变换、线性转换等），确保数据适应模型训练和分析要求。</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数据集生成与处理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1、数据集创建：根据业务需求，生成结构化或非结构化的数据集，确保数据集适应不同分析与训练需求。</w:t>
                  </w:r>
                  <w:r>
                    <w:br/>
                  </w:r>
                  <w:r>
                    <w:rPr>
                      <w:sz w:val="24"/>
                    </w:rPr>
                    <w:t>2、数据集更新与版本控制：支持对数据集的更新和版本控制，确保每个数据集的历史版本可以追溯。</w:t>
                  </w:r>
                  <w:r>
                    <w:br/>
                  </w:r>
                  <w:r>
                    <w:rPr>
                      <w:sz w:val="24"/>
                    </w:rPr>
                    <w:t>3、数据集导出：支持将生成的数据集导出为不同格式，如CSV、Excel、JSON等，方便进一步的分析或模型训练使用。</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批量处理与并行计算</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1、批量数据处理：支持对大量数据的批量处理，包括清洗、格式转换、标准化等操作。</w:t>
                  </w:r>
                  <w:r>
                    <w:br/>
                  </w:r>
                  <w:r>
                    <w:rPr>
                      <w:sz w:val="24"/>
                    </w:rPr>
                    <w:t>2、并行计算：通过并行计算框架（如分布式计算、MapReduce等）提高大数据集的处理效率，缩短处理时间。</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数据处理监控与报告</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1、处理进度监控：实时跟踪数据处理任务的执行进度，确保数据处理任务按时完成。</w:t>
                  </w:r>
                  <w:r>
                    <w:br/>
                  </w:r>
                  <w:r>
                    <w:rPr>
                      <w:sz w:val="24"/>
                    </w:rPr>
                    <w:t>2、错误日志记录：记录数据处理过程中的错误日志，帮助开发人员快速定位问题并进行修复。</w:t>
                  </w:r>
                  <w:r>
                    <w:br/>
                  </w:r>
                  <w:r>
                    <w:rPr>
                      <w:sz w:val="24"/>
                    </w:rPr>
                    <w:t>3、处理报告生成：自动生成处理报告，记录处理的结果和执行时间等信息，便于后期审核和优化。</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AI训练与模型管理</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预训练模型存储</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1、模型上传与存储：支持将预训练模型上传到平台，模型将被存储在指定目录下，并支持与模型相关的元数据存储（如模型名称、版本、来源等）。</w:t>
                  </w:r>
                  <w:r>
                    <w:br/>
                  </w:r>
                  <w:r>
                    <w:rPr>
                      <w:sz w:val="24"/>
                    </w:rPr>
                    <w:t>2、模型格式支持：支持常见的AI模型格式（如TensorFlow、PyTorch、Keras等）的存储。</w:t>
                  </w:r>
                  <w:r>
                    <w:br/>
                  </w:r>
                  <w:r>
                    <w:rPr>
                      <w:sz w:val="24"/>
                    </w:rPr>
                    <w:t>3、模型元数据管理：为每个存储的模型生成元数据，包括版本号、描述、训练数据、模型精度等。</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训练模型管理</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1、模型版本控制：提供模型版本控制功能，确保每次训练生成的模型能够正确标记版本号，并与历史版本进行对比。</w:t>
                  </w:r>
                  <w:r>
                    <w:br/>
                  </w:r>
                  <w:r>
                    <w:rPr>
                      <w:sz w:val="24"/>
                    </w:rPr>
                    <w:t>2、模型存储：训练过程中生成的模型会被存储在平台中，确保模型数据的安全性和可用性。</w:t>
                  </w:r>
                  <w:r>
                    <w:br/>
                  </w:r>
                  <w:r>
                    <w:rPr>
                      <w:sz w:val="24"/>
                    </w:rPr>
                    <w:t>3、模型元数据管理：为每个训练模型生成元数据，记录训练过程中的相关信息（如训练集、算法、训练参数等），方便后续查询和分析。</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模型格式转换</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1、模型格式转换：支持不同AI模型格式的转换（如TensorFlow到PyTorch、Keras到TensorFlow等）。通过提供工具扩展，支持自定义的转换规则。</w:t>
                  </w:r>
                  <w:r>
                    <w:br/>
                  </w:r>
                  <w:r>
                    <w:rPr>
                      <w:sz w:val="24"/>
                    </w:rPr>
                    <w:t>2、模型参数管理：支持训练模型的参数管理，包括对训练过程中生成的超参数和模型权重的存储与更新。</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远程模型挂载与推理支持</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1、远程挂载支持：提供远程挂载功能，支持GPU集群访问存储在平台中的模型文件。通过挂载，推理程序可以直接访问模型文件并进行推理。</w:t>
                  </w:r>
                  <w:r>
                    <w:br/>
                  </w:r>
                  <w:r>
                    <w:rPr>
                      <w:sz w:val="24"/>
                    </w:rPr>
                    <w:t>2、模型推理支持：虽然不直接执行推理任务，但平台应提供对推理程序加载模型文件的支持，确保推理程序能够顺利运行。</w:t>
                  </w:r>
                </w:p>
              </w:tc>
            </w:tr>
            <w:tr>
              <w:tc>
                <w:tcPr>
                  <w:tcW w:type="dxa" w:w="1083"/>
                  <w:vMerge/>
                  <w:tcBorders>
                    <w:top w:val="none" w:color="000000" w:sz="4"/>
                    <w:left w:val="single" w:color="000000" w:sz="4"/>
                    <w:bottom w:val="single" w:color="000000" w:sz="4"/>
                    <w:right w:val="single" w:color="000000" w:sz="4"/>
                  </w:tcBorders>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模型管理与审计</w:t>
                  </w: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1、模型操作记录：对每个模型的上传、下载、更新、删除等操作进行详细记录，确保模型的完整性。</w:t>
                  </w:r>
                  <w:r>
                    <w:br/>
                  </w:r>
                  <w:r>
                    <w:rPr>
                      <w:sz w:val="24"/>
                    </w:rPr>
                    <w:t>2、审计与合规性：所有模型的操作行为（如版本更新、删除等）应满足审计要求，确保合规性。</w:t>
                  </w:r>
                </w:p>
              </w:tc>
            </w:tr>
          </w:tbl>
          <w:p>
            <w:pPr>
              <w:pStyle w:val="null3"/>
              <w:jc w:val="both"/>
            </w:pPr>
            <w:r>
              <w:rPr>
                <w:sz w:val="24"/>
              </w:rPr>
              <w:t>2.详细技术参数要求：</w:t>
            </w:r>
          </w:p>
          <w:tbl>
            <w:tblPr>
              <w:tblInd w:type="dxa" w:w="435"/>
              <w:tblBorders>
                <w:top w:val="none" w:color="000000" w:sz="4"/>
                <w:left w:val="none" w:color="000000" w:sz="4"/>
                <w:bottom w:val="none" w:color="000000" w:sz="4"/>
                <w:right w:val="none" w:color="000000" w:sz="4"/>
                <w:insideH w:val="none"/>
                <w:insideV w:val="none"/>
              </w:tblBorders>
            </w:tblPr>
            <w:tblGrid>
              <w:gridCol w:w="1111"/>
              <w:gridCol w:w="615"/>
              <w:gridCol w:w="1156"/>
              <w:gridCol w:w="1306"/>
              <w:gridCol w:w="1411"/>
            </w:tblGrid>
            <w:tr>
              <w:tc>
                <w:tcPr>
                  <w:tcW w:type="dxa" w:w="559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数据湖基础设施层</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一级功能模块</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二级功能模块</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功能描述</w:t>
                  </w:r>
                </w:p>
              </w:tc>
              <w:tc>
                <w:tcPr>
                  <w:tcW w:type="dxa" w:w="271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技术参数及要求</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存储模块</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磁盘分区与格式化</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提供磁盘的分区和格式化功能，支持不同存储设备（如</w:t>
                  </w:r>
                  <w:r>
                    <w:rPr>
                      <w:sz w:val="24"/>
                    </w:rPr>
                    <w:t>SSD、HDD、本国硬盘）的初始化，确保硬件设备的兼容性。</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磁盘健康监控与日志管理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实时监控磁盘的健康状态，并记录</w:t>
                  </w:r>
                  <w:r>
                    <w:rPr>
                      <w:sz w:val="24"/>
                    </w:rPr>
                    <w:t>I/O异常。</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数据分布与冗余管理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实现数据的分布式存储与冗余机制，确保数据安全与高可用性。</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存储池管理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创建、管理和分配存储池资源，根据不同业务需求动态分配存储空间，支持不同的存储策略。</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数据访问与控制</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存储权限管理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提供对存储系统的访问权限管理，定义不同用户和角色的权限。</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API访问管理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提供安全的</w:t>
                  </w:r>
                  <w:r>
                    <w:rPr>
                      <w:sz w:val="24"/>
                    </w:rPr>
                    <w:t>API接口，用于上层应用与存储系统进行交互。</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数据备份与恢复</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定期自动备份</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支持定期对存储的数据进行自动备份，提供备份周期与存储空间管理功能。</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快速数据恢复</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提供灵活的数据恢复机制，包括单文件恢复、全量恢复等，确保数据恢复操作的高效性与准确性。</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数据加密与安全</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国密支持</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同时支持标准密码学库与国密加密两种方式对数据进行加密、解密处理。</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数据存储加密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支持标记为敏感数据，自动对敏感数据进行加密存储。</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存储监控与报告</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存储性能监控</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实时监控存储系统的性能，确保存储系统在高负载情况下依然稳定运行。</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存储资源使用监控</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监控存储资源的使用情况，包括磁盘空间使用率、</w:t>
                  </w:r>
                  <w:r>
                    <w:rPr>
                      <w:sz w:val="24"/>
                    </w:rPr>
                    <w:t>IO压力、存储池负载等，帮助管理员及时优化资源。</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存储操作日志</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记录所有存储操作的日志信息，便于问题排查与审计，确保平台操作的透明性。</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系统管理模块</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应用注册</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允许新应用注册，提供应用名称、描述、类型等基本信息录入，并生成唯一的应用</w:t>
                  </w:r>
                  <w:r>
                    <w:rPr>
                      <w:sz w:val="24"/>
                    </w:rPr>
                    <w:t>ID。</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应用生命周期管理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管理应用的生命周期，支持应用的启用、停用、删除等操作。</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授权配置</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配置每个应用的权限，确保应用只能访问自己的存储和资源，支持临时授权、长期授权等灵活配置。</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应用授权审计</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对应用授权操作进行审计，记录所有授权变更，并支持查看授权历史。</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用户创建</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支持用户的注册和创建，录入用户信息并分配唯一的用户</w:t>
                  </w:r>
                  <w:r>
                    <w:rPr>
                      <w:sz w:val="24"/>
                    </w:rPr>
                    <w:t>ID，支持用户信息的更新与删除。</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用户账户管理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管理用户账户的生命周期，包括账户启用、停用、密码重置等功能。</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角色定义</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定义不同的用户角色，如管理员、数据分析师、应用开发者等，并为每个角色分配不同的权限。</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权限配置</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为用户角色分配具体的资源访问权限，确保用户只能访问和操作其有权限的数据和功能。</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权限与角色管理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权限定义与管理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管理数据资源、功能模块等的访问权限，定义哪些用户或角色可以执行哪些操作。</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权限继承与权限策略</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允许角色继承其他角色的权限，并配置权限的策略，如访问时间限制、数据操作限制等。</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资源管理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资源隔离与管理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对不同应用的存储资源进行隔离，确保每个应用只能访问和操作自己的数据资源。</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临时授权与访问控制</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提供临时授权机制，允许管理员为特定用户或应用在限定时间内访问特定资源。</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持久性授权与控制</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提供长期授权机制，确保用户或应用可以持久访问指定的资源。</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应用接口管理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API密钥生成与管理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生成和管理应用</w:t>
                  </w:r>
                  <w:r>
                    <w:rPr>
                      <w:sz w:val="24"/>
                    </w:rPr>
                    <w:t>API密钥，控制应用与系统交互的权限，确保安全的接口访问。</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API访问审计</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w:t>
                  </w:r>
                  <w:r>
                    <w:rPr>
                      <w:sz w:val="24"/>
                    </w:rPr>
                    <w:t>API访问日志，监控API调用情况，并审计每个调用的来源与访问权限。</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系统日志与审计</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系统行为记录</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记录所有用户和应用的操作日志，包括登录、操作、授权、配置变更等事件，确保系统行为可追溯。</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审计查询</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提供系统操作的查询功能，帮助管理员查看历史操作记录，便于问题排查和合规检查。</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★目录模块</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目录创建</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支持应用通过</w:t>
                  </w:r>
                  <w:r>
                    <w:rPr>
                      <w:sz w:val="24"/>
                    </w:rPr>
                    <w:t>API创建新的目录，目录可以是永久的也可以是临时的。每个应用可以创建多个目录，方便分类管理数据。</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目录信息修改与删除</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支持修改目录信息（如名称、描述等）及删除目录的功能，确保目录管理灵活可控。</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目录生命周期管理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管理目录的生命周期，包括目录的创建、启用、停用、删除等操作。</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内容上传</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提供内容上传功能，允许用户通过</w:t>
                  </w:r>
                  <w:r>
                    <w:rPr>
                      <w:sz w:val="24"/>
                    </w:rPr>
                    <w:t>API将数据/文件上传至指定目录，确保上传内容的完整性与正确性。</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内容关联与存储</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支持内容与目录的关联操作，每个目录可以包含多个内容，每个内容可以关联多个目录，形成多对多关系。</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目录访问与权限</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目录访问权限配置</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配置不同用户或应用对目录的访问权限，确保资源的安全性，只有授权用户或应用能够访问或修改目录中的内容。</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临时与长期授权</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提供灵活的授权机制，支持临时授权与长期授权，允许在特定时间段内允许其他应用或用户访问指定目录的内容。</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w:t>
                  </w:r>
                  <w:r>
                    <w:rPr>
                      <w:sz w:val="24"/>
                    </w:rPr>
                    <w:t>API管理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API访问与权限管理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提供标准化的</w:t>
                  </w:r>
                  <w:r>
                    <w:rPr>
                      <w:sz w:val="24"/>
                    </w:rPr>
                    <w:t>API接口，供应用开发方访问和管理目录内容，支持目录创建、修改、删除、内容上传及权限控制等功能。</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API日志审计</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w:t>
                  </w:r>
                  <w:r>
                    <w:rPr>
                      <w:sz w:val="24"/>
                    </w:rPr>
                    <w:t>API调用进行日志记录，便于审计和跟踪API的访问行为，确保API操作的安全性与合规性。</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目录监控与报告</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目录操作日志</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记录所有目录相关的操作行为，包括目录创建、修改、删除、内容上传、权限配置等，便于操作追踪与问题排查。</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目录存储与访问监控</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实时监控目录的存储使用情况、内容访问频率等信息，帮助管理员优化目录资源的管理与使用。</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▲标签管理</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标签创建</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支持应用通过</w:t>
                  </w:r>
                  <w:r>
                    <w:rPr>
                      <w:sz w:val="24"/>
                    </w:rPr>
                    <w:t>API定义并创建新的标签，标签可以是应用特定的，也可以是跨应用共用的全局标签。</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标签分类与层级管理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标签可以被分类并支持层级结构，确保标签管理的灵活性和可扩展性。</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标签与数据关联</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允许应用将标签与数据或内容进行关联，每个数据或内容可以绑定多个标签。</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标签更新与删除</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支持更新或删除标签信息，包括标签的内容、分类、关联数据等。</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标签全局管理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全局标签库管理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统一管理系统中的所有标签，确保标签在系统中的全局唯一性与一致性。</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标签共享与使用统计</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记录并统计每个应用对标签的创建、使用情况，确保标签的全局共享并追踪其使用频率与应用。</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标签权限管理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标签访问权限配置</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配置标签的访问权限，确保只有授权的用户或应用能够使用、修改或删除标签。</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w:t>
                  </w:r>
                  <w:r>
                    <w:rPr>
                      <w:sz w:val="24"/>
                    </w:rPr>
                    <w:t>API管理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w:t>
                  </w:r>
                  <w:r>
                    <w:rPr>
                      <w:sz w:val="24"/>
                    </w:rPr>
                    <w:t>API访问与操作</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提供标准化的</w:t>
                  </w:r>
                  <w:r>
                    <w:rPr>
                      <w:sz w:val="24"/>
                    </w:rPr>
                    <w:t>API接口，供应用开发方进行标签的创建、管理、更新、查询等操作。</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w:t>
                  </w:r>
                  <w:r>
                    <w:rPr>
                      <w:sz w:val="24"/>
                    </w:rPr>
                    <w:t>API日志审计</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对所有</w:t>
                  </w:r>
                  <w:r>
                    <w:rPr>
                      <w:sz w:val="24"/>
                    </w:rPr>
                    <w:t>API操作进行日志记录，确保标签管理操作的可追溯性与审计合规性。</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元数据管理</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标准计算机文件元数据定义</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支持定义常见的计算机文件元数据类型（如文件大小、创建时间、修改时间、格式等），以便对常规文件进行管理。</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自定义元数据定义</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支持定义医疗场景中特有的自定义元数据类型（如</w:t>
                  </w:r>
                  <w:r>
                    <w:rPr>
                      <w:sz w:val="24"/>
                    </w:rPr>
                    <w:t>DICOM数据、病历信息、诊断报告等），并支持对其属性进行管理。</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元数据分类与层级管理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提供元数据分类管理功能，允许用户按需求创建元数据类型的层级结构，方便管理不同种类的元数据。</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元数据批量导入与导出</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支持批量导入和导出元数据，方便与其他系统进行数据交换，确保数据的高效迁移和整合。</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元数据查询与访问</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高效查询</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提供高效的元数据查询功能，支持基于元数据字段（如时间、类型、属性等）的多维度检索。</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元数据索引</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通过索引技术优化元数据检索性能，确保系统能够在海量数据中快速找到相关的元数据。</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元数据安全与审计</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访问权限管理</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配置不同用户和角色的元数据访问权限，确保只有授权的用户能够访问、修改和删除元数据。</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审计与日志记录</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记录元数据的访问与操作日志，确保元数据管理过程可追溯，便于审计和合规检查。</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数据利用服务</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▲数据搜索</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多维度搜索</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支持根据目录、标签、元数据等多维度进行复杂的数据检索，用户可以自定义搜索条件，如数据类型、时间范围等。</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支持复杂查询</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提供支持</w:t>
                  </w:r>
                  <w:r>
                    <w:rPr>
                      <w:sz w:val="24"/>
                    </w:rPr>
                    <w:t>SQL风格的查询功能，支持联合查询、条件过滤、排序等复杂查询操作。</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统计与看板</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数据汇总统计</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提供对数据的汇总统计功能，包括数据量、数据类型、访问频次等统计指标，支持定制化统计需求。</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数据趋势分析</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根据历史数据生成趋势图，帮助用户了解数据变化的趋势与规律，支持时间序列数据的展示。</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数据可视化看板</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通过可视化组件（如图表、仪表盘等）展示关键数据指标，帮助用户快速了解数据分析结果。</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API接口</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数据搜索</w:t>
                  </w:r>
                  <w:r>
                    <w:rPr>
                      <w:sz w:val="24"/>
                    </w:rPr>
                    <w:t>API</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提供标准化的</w:t>
                  </w:r>
                  <w:r>
                    <w:rPr>
                      <w:sz w:val="24"/>
                    </w:rPr>
                    <w:t>API接口，允许上层应用或外部系统调用进行数据搜索和查询，支持复杂检索条件和自定义查询。</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统计与看板</w:t>
                  </w:r>
                  <w:r>
                    <w:rPr>
                      <w:sz w:val="24"/>
                    </w:rPr>
                    <w:t>API</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提供统计数据和可视化看板数据的</w:t>
                  </w:r>
                  <w:r>
                    <w:rPr>
                      <w:sz w:val="24"/>
                    </w:rPr>
                    <w:t>API接口，供其他系统或用户调用，返回统计结果或图表数据。</w:t>
                  </w:r>
                </w:p>
              </w:tc>
            </w:tr>
            <w:tr>
              <w:tc>
                <w:tcPr>
                  <w:tcW w:type="dxa" w:w="1111"/>
                  <w:vMerge/>
                  <w:tcBorders>
                    <w:top w:val="none" w:color="000000" w:sz="4"/>
                    <w:left w:val="single" w:color="000000" w:sz="4"/>
                    <w:bottom w:val="single" w:color="000000" w:sz="4"/>
                    <w:right w:val="single" w:color="000000" w:sz="4"/>
                  </w:tcBorders>
                </w:tcP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▲缓存与优化</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数据缓存加速</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对经常访问的数据和统计结果进行缓存，优化数据访问速度，减少数据库查询开销。</w:t>
                  </w:r>
                </w:p>
              </w:tc>
            </w:tr>
            <w:tr>
              <w:tc>
                <w:tcPr>
                  <w:tcW w:type="dxa" w:w="1111"/>
                  <w:vMerge/>
                  <w:tcBorders>
                    <w:top w:val="none" w:color="000000" w:sz="4"/>
                    <w:left w:val="singl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缓存更新策略</w:t>
                  </w:r>
                </w:p>
              </w:tc>
              <w:tc>
                <w:tcPr>
                  <w:tcW w:type="dxa" w:w="2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提供灵活的缓存更新策略，包括实时更新、定时更新和周期性更新，支持根据应用需求配置缓存的过期时间或更新频率。</w:t>
                  </w:r>
                </w:p>
              </w:tc>
            </w:tr>
            <w:tr>
              <w:tc>
                <w:tcPr>
                  <w:tcW w:type="dxa" w:w="55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数据运维应用层</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一级功能模块</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二级功能模块</w:t>
                  </w:r>
                </w:p>
              </w:tc>
              <w:tc>
                <w:tcPr>
                  <w:tcW w:type="dxa" w:w="24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功能描述</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技术参数及要求</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数据访问与接口管理</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数据写入与查询</w:t>
                  </w:r>
                  <w:r>
                    <w:rPr>
                      <w:sz w:val="24"/>
                    </w:rPr>
                    <w:t>API</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1、数据写入：支持应用通过API将数据提交到数据平台，包括文件上传、数据记录保存等。上传的数据应根据数据类型和存储策略进行存储，支持多种文件格式。</w:t>
                  </w:r>
                  <w:r>
                    <w:br/>
                  </w:r>
                  <w:r>
                    <w:rPr>
                      <w:sz w:val="24"/>
                    </w:rPr>
                    <w:t>2、数据查询：提供基于多维度的查询功能，包括时间范围、标签、目录、元数据等多种条件组合的查询。支持分页查询和数据筛选。</w:t>
                  </w:r>
                  <w:r>
                    <w:br/>
                  </w:r>
                  <w:r>
                    <w:rPr>
                      <w:sz w:val="24"/>
                    </w:rPr>
                    <w:t>3、数据更新：允许通过API更新已存储的数据，支持数据修改、替换等操作。</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w:t>
                  </w:r>
                  <w:r>
                    <w:rPr>
                      <w:sz w:val="24"/>
                    </w:rPr>
                    <w:t>RESTful风格的HTTP API接口，支持POST（写入数据）、GET（查询数据）、PUT（更新数据）等标准HTTP方法；支持分页查询、大数据量查询优化，确保查询性能。</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权限控制与访问管理</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1、权限定义：管理员可以为不同角色和用户定义数据访问权限，确保每个用户只能访问自己有权限的数据。</w:t>
                  </w:r>
                  <w:r>
                    <w:br/>
                  </w:r>
                  <w:r>
                    <w:rPr>
                      <w:sz w:val="24"/>
                    </w:rPr>
                    <w:t>2、API访问控制：为每个API接口配置访问权限，确保只有授权的应用或用户才能调用API进行数据读写操作。</w:t>
                  </w:r>
                  <w:r>
                    <w:br/>
                  </w:r>
                  <w:r>
                    <w:rPr>
                      <w:sz w:val="24"/>
                    </w:rPr>
                    <w:t>3、临时与长期授权：支持为特定应用或用户提供临时授权，授权过期后自动失效；同时支持长期授权，确保长期使用的应用可持续访问数据。</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提供用户身份验证功能（如</w:t>
                  </w:r>
                  <w:r>
                    <w:rPr>
                      <w:sz w:val="24"/>
                    </w:rPr>
                    <w:t>OAuth2、API密钥等）；支持基于角色的访问控制（RBAC），并提供API接口，允许管理员动态修改访问权限</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API审计与日志管理</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1、API操作日志：记录所有API操作的详细信息，包括访问时间、调用用户、API请求内容、响应状态、数据操作等。</w:t>
                  </w:r>
                  <w:r>
                    <w:br/>
                  </w:r>
                  <w:r>
                    <w:rPr>
                      <w:sz w:val="24"/>
                    </w:rPr>
                    <w:t>2、审计功能：提供日志查询和审计功能，帮助管理员检查所有数据操作的合法性，及时发现异常操作。</w:t>
                  </w:r>
                  <w:r>
                    <w:br/>
                  </w:r>
                  <w:r>
                    <w:rPr>
                      <w:sz w:val="24"/>
                    </w:rPr>
                    <w:t>3、日志存储与管理：确保所有API操作日志能长期存储并支持快速检索。</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支持日志数据的</w:t>
                  </w:r>
                  <w:r>
                    <w:rPr>
                      <w:sz w:val="24"/>
                    </w:rPr>
                    <w:t>JSON格式存储，支持日志按时间范围、用户、操作类型等进行查询；提供API接口，允许管理员获取和分析日志数据。</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数据访问控制与加密</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1、数据加密：所有传输的数据应进行加密，包括在API请求与响应过程中的数据传输。特别是敏感信息（如医疗数据、个人信息）应进行加密。</w:t>
                  </w:r>
                  <w:r>
                    <w:br/>
                  </w:r>
                  <w:r>
                    <w:rPr>
                      <w:sz w:val="24"/>
                    </w:rPr>
                    <w:t>2、加密存储：存储在平台中的敏感数据应进行加密，防止在数据泄露时被非法读取。</w:t>
                  </w:r>
                  <w:r>
                    <w:br/>
                  </w:r>
                  <w:r>
                    <w:rPr>
                      <w:sz w:val="24"/>
                    </w:rPr>
                    <w:t>3、密钥管理：平台应支持密钥管理机制，用于加密和解密数据，并支持密钥的轮换、更新。</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支持使用标准加密协议（如</w:t>
                  </w:r>
                  <w:r>
                    <w:rPr>
                      <w:sz w:val="24"/>
                    </w:rPr>
                    <w:t>TLS、AES等）进行数据加密；提供密钥管理API接口，支持生成、更新和管理加密密钥。</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数据访问日志管理与审计</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1、访问行为记录：系统应记录每次数据访问的详细信息，包括访问时间、访问用户、操作类型、访问数据、成功/失败状态等。</w:t>
                  </w:r>
                  <w:r>
                    <w:br/>
                  </w:r>
                  <w:r>
                    <w:rPr>
                      <w:sz w:val="24"/>
                    </w:rPr>
                    <w:t>2、日志查询与分析：提供管理员查询访问日志的功能，支持按时间、用户、操作类型等多维度查询访问日志。</w:t>
                  </w:r>
                  <w:r>
                    <w:br/>
                  </w:r>
                  <w:r>
                    <w:rPr>
                      <w:sz w:val="24"/>
                    </w:rPr>
                    <w:t>3、审计报告生成：能够根据访问日志自动生成审计报告，确保合规性检查。</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支持基于时间、用户等多维度的日志查询功能；提供</w:t>
                  </w:r>
                  <w:r>
                    <w:rPr>
                      <w:sz w:val="24"/>
                    </w:rPr>
                    <w:t>API接口，供管理员获取访问日志并生成审计报告</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数据源接入与数据抓取模块</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数据源接入</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1、数据库接入：支持通过标准的SQL协议（如JDBC、ODBC）连接和访问不同类型的数据库（如MySQL、PostgreSQL、Oracle等），从数据库中提取数据。</w:t>
                  </w:r>
                  <w:r>
                    <w:br/>
                  </w:r>
                  <w:r>
                    <w:rPr>
                      <w:sz w:val="24"/>
                    </w:rPr>
                    <w:t>2、API接口接入：支持通过RESTful API、SOAP等协议从外部系统获取数据，能够处理API的身份验证、分页等功能。</w:t>
                  </w:r>
                  <w:r>
                    <w:br/>
                  </w:r>
                  <w:r>
                    <w:rPr>
                      <w:sz w:val="24"/>
                    </w:rPr>
                    <w:t>3、文件系统接入：支持从文件系统（如本地文件、HDFS、FTP服务器等）获取数据，支持多种文件格式（如CSV、JSON、XML等）的读取。</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提供统一的数据源接入</w:t>
                  </w:r>
                  <w:r>
                    <w:rPr>
                      <w:sz w:val="24"/>
                    </w:rPr>
                    <w:t>API接口，支持配置不同的数据源类型（数据库、API、文件系统等）；支持连接池机制，提高接入效率，减少重复连接开销。</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数据抓取与同步</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1、定期数据抓取：支持定期从外部数据源抓取数据并导入数据湖，支持配置抓取频率（如每天、每小时等）。</w:t>
                  </w:r>
                  <w:r>
                    <w:br/>
                  </w:r>
                  <w:r>
                    <w:rPr>
                      <w:sz w:val="24"/>
                    </w:rPr>
                    <w:t>2、按需数据抓取：支持手动触发数据抓取操作，根据需求实时从外部系统获取数据。</w:t>
                  </w:r>
                  <w:r>
                    <w:br/>
                  </w:r>
                  <w:r>
                    <w:rPr>
                      <w:sz w:val="24"/>
                    </w:rPr>
                    <w:t>3、增量数据抓取：支持增量抓取，减少不必要的重复数据传输，优化系统性能。通过标记最新数据（如基于时间戳、ID等）进行增量更新。</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提供定时任务接口，支持配置抓取周期、任务执行时间等；提供增量数据抓取接口，支持基于特定条件（如上次抓取时间）获取新数据。</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数据转换与清洗</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1、数据清洗：对导入的数据进行格式化、去除重复数据、填补缺失值等处理，确保数据的完整性和一致性。</w:t>
                  </w:r>
                  <w:r>
                    <w:br/>
                  </w:r>
                  <w:r>
                    <w:rPr>
                      <w:sz w:val="24"/>
                    </w:rPr>
                    <w:t>2、数据标准化：根据预定义的标准，对不同数据源的数据进行转换，统一字段格式、数据类型等。</w:t>
                  </w:r>
                  <w:r>
                    <w:br/>
                  </w:r>
                  <w:r>
                    <w:rPr>
                      <w:sz w:val="24"/>
                    </w:rPr>
                    <w:t>3、错误处理：对抓取的数据进行错误检测，并提供相应的错误报告和修正机制。</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提供数据清洗和转换接口，允许用户定义和应用数据清洗规则；支持对清洗失败的数据提供详细的错误信息，便于后续修复。</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数据存储与同步</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1、数据存储：将清洗后的数据存储到数据湖系统，支持多种数据存储格式（如JSON、Parquet、Avro等）与存储策略。</w:t>
                  </w:r>
                  <w:r>
                    <w:br/>
                  </w:r>
                  <w:r>
                    <w:rPr>
                      <w:sz w:val="24"/>
                    </w:rPr>
                    <w:t>2、数据同步：确保外部数据源与数据湖中的数据保持同步，避免出现数据丢失或不一致。</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提供存储接口，支持将数据保存到不同的存储层（如原始存储、结构化存储等）；支持存储路径管理，确保数据存储的组织性与可扩展性。</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异常处理与告警</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1、异常检测：实时监控数据抓取过程中的异常，发现问题时及时停止任务并生成错误报告。</w:t>
                  </w:r>
                  <w:r>
                    <w:br/>
                  </w:r>
                  <w:r>
                    <w:rPr>
                      <w:sz w:val="24"/>
                    </w:rPr>
                    <w:t>2、告警机制：为系统管理员提供告警机制，当数据抓取任务失败或发生异常时，自动发送通知（如邮件、短信等）。</w:t>
                  </w:r>
                  <w:r>
                    <w:br/>
                  </w:r>
                  <w:r>
                    <w:rPr>
                      <w:sz w:val="24"/>
                    </w:rPr>
                    <w:t>3、错误日志：记录所有数据抓取过程中的错误日志，便于问题排查和修复。</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提供错误日志查询接口，管理员可以查看和分析抓取过程中的异常信息。</w:t>
                  </w:r>
                  <w:r>
                    <w:br/>
                  </w:r>
                  <w:r>
                    <w:rPr>
                      <w:sz w:val="24"/>
                    </w:rPr>
                    <w:t>提供告警接口，支持配置不同类型的告警通知（如电子邮件、短信等）。</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▲数据处理与转化模块</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数据清洗</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1、缺失值填补：通过特定的规则或算法（如均值填充、中位数填充、插值等）填补数据中的缺失值，确保数据的完整性。</w:t>
                  </w:r>
                  <w:r>
                    <w:br/>
                  </w:r>
                  <w:r>
                    <w:rPr>
                      <w:sz w:val="24"/>
                    </w:rPr>
                    <w:t>2、重复数据去除：检查并去除数据中的重复记录，确保数据的唯一性。</w:t>
                  </w:r>
                  <w:r>
                    <w:br/>
                  </w:r>
                  <w:r>
                    <w:rPr>
                      <w:sz w:val="24"/>
                    </w:rPr>
                    <w:t>3、异常值检测与处理：对数据中的异常值进行检测，并提供修复或剔除方案，避免其影响后续的数据分析。</w:t>
                  </w:r>
                  <w:r>
                    <w:br/>
                  </w:r>
                  <w:r>
                    <w:rPr>
                      <w:sz w:val="24"/>
                    </w:rPr>
                    <w:t>4、格式化和标准化：对数据进行格式化处理（如日期格式统一、单位转换等），确保数据符合系统标准。</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提供灵活的清洗规则接口，允许用户自定义清洗规则。</w:t>
                  </w:r>
                  <w:r>
                    <w:br/>
                  </w:r>
                  <w:r>
                    <w:rPr>
                      <w:sz w:val="24"/>
                    </w:rPr>
                    <w:t>支持批量处理和逐条数据清洗，适应大规模数据集。</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数据格式转换</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1、格式转换：支持不同数据格式之间的转换，如CSV转为JSON，XML转为Parquet等。能够处理各种常见的文件格式和数据库格式。</w:t>
                  </w:r>
                  <w:r>
                    <w:br/>
                  </w:r>
                  <w:r>
                    <w:rPr>
                      <w:sz w:val="24"/>
                    </w:rPr>
                    <w:t>2、数据字段映射：对于不同数据源中字段名称不一致的情况，提供字段映射功能，确保字段名称和格式的统一性。</w:t>
                  </w:r>
                  <w:r>
                    <w:br/>
                  </w:r>
                  <w:r>
                    <w:rPr>
                      <w:sz w:val="24"/>
                    </w:rPr>
                    <w:t>3、批量转换：支持批量数据格式转换，确保大规模数据集的高效转换。</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提供格式转换接口，支持常见格式的转换，如</w:t>
                  </w:r>
                  <w:r>
                    <w:rPr>
                      <w:sz w:val="24"/>
                    </w:rPr>
                    <w:t>CSV、JSON、XML、Parquet等。</w:t>
                  </w:r>
                  <w:r>
                    <w:br/>
                  </w:r>
                  <w:r>
                    <w:rPr>
                      <w:sz w:val="24"/>
                    </w:rPr>
                    <w:t>提供字段映射接口，支持用户自定义字段映射规则。</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数据标准化</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1、标准化规则：通过设定统一的标准格式（如单位、日期、数值范围等），将不同来源的异构数据转换为标准化格式。</w:t>
                  </w:r>
                  <w:r>
                    <w:br/>
                  </w:r>
                  <w:r>
                    <w:rPr>
                      <w:sz w:val="24"/>
                    </w:rPr>
                    <w:t>2、数据单位转换：处理不同数据源使用的单位不一致的情况，如长度单位转换、温度单位转换等。</w:t>
                  </w:r>
                  <w:r>
                    <w:br/>
                  </w:r>
                  <w:r>
                    <w:rPr>
                      <w:sz w:val="24"/>
                    </w:rPr>
                    <w:t>3、数据归一化：将数据进行归一化处理（如对数变换、线性转换等），确保数据适应模型训练和分析要求。</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提供标准化规则配置接口，允许用户定义统一的数据标准。</w:t>
                  </w:r>
                  <w:r>
                    <w:br/>
                  </w:r>
                  <w:r>
                    <w:rPr>
                      <w:sz w:val="24"/>
                    </w:rPr>
                    <w:t>提供单位转换功能接口，确保不同单位的数据能够互相转换。</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数据集生成与处理</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1、数据集创建：根据业务需求，生成结构化或非结构化的数据集，确保数据集适应不同分析与训练需求。</w:t>
                  </w:r>
                  <w:r>
                    <w:br/>
                  </w:r>
                  <w:r>
                    <w:rPr>
                      <w:sz w:val="24"/>
                    </w:rPr>
                    <w:t>2、数据集更新与版本控制：支持对数据集的更新和版本控制，确保每个数据集的历史版本可以追溯。</w:t>
                  </w:r>
                  <w:r>
                    <w:br/>
                  </w:r>
                  <w:r>
                    <w:rPr>
                      <w:sz w:val="24"/>
                    </w:rPr>
                    <w:t>3、数据集导出：支持将生成的数据集导出为不同格式，如CSV、Excel、JSON等，方便进一步的分析或模型训练使用。</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提供数据集创建与更新接口，允许用户定义数据集结构和内容。</w:t>
                  </w:r>
                  <w:r>
                    <w:br/>
                  </w:r>
                  <w:r>
                    <w:rPr>
                      <w:sz w:val="24"/>
                    </w:rPr>
                    <w:t>支持数据集的版本控制接口，确保每个版本的数据集都能被追溯。</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批量处理与并行计算</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1、批量数据处理：支持对大量数据的批量处理，包括清洗、格式转换、标准化等操作。</w:t>
                  </w:r>
                  <w:r>
                    <w:br/>
                  </w:r>
                  <w:r>
                    <w:rPr>
                      <w:sz w:val="24"/>
                    </w:rPr>
                    <w:t>2、并行计算：通过并行计算框架（如分布式计算、MapReduce等）提高大数据集的处理效率，缩短处理时间。</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提供批量数据处理接口，支持按批次进行数据操作。</w:t>
                  </w:r>
                  <w:r>
                    <w:br/>
                  </w:r>
                  <w:r>
                    <w:rPr>
                      <w:sz w:val="24"/>
                    </w:rPr>
                    <w:t>支持并行计算框架的</w:t>
                  </w:r>
                  <w:r>
                    <w:rPr>
                      <w:sz w:val="24"/>
                    </w:rPr>
                    <w:t>API接口，允许用户将任务分发到多个计算节点上进行处理。</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数据处理监控与报告</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1、处理进度监控：实时跟踪数据处理任务的执行进度，确保数据处理任务按时完成。</w:t>
                  </w:r>
                  <w:r>
                    <w:br/>
                  </w:r>
                  <w:r>
                    <w:rPr>
                      <w:sz w:val="24"/>
                    </w:rPr>
                    <w:t>2、错误日志记录：记录数据处理过程中的错误日志，帮助开发人员快速定位问题并进行修复。</w:t>
                  </w:r>
                  <w:r>
                    <w:br/>
                  </w:r>
                  <w:r>
                    <w:rPr>
                      <w:sz w:val="24"/>
                    </w:rPr>
                    <w:t>3、处理报告生成：自动生成处理报告，记录处理的结果和执行时间等信息，便于后期审核和优化。</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提供实时进度查询接口，允许管理员查看处理任务的执行状态。</w:t>
                  </w:r>
                  <w:r>
                    <w:br/>
                  </w:r>
                  <w:r>
                    <w:rPr>
                      <w:sz w:val="24"/>
                    </w:rPr>
                    <w:t>支持错误日志查询接口，方便管理员排查问题。</w:t>
                  </w:r>
                </w:p>
              </w:tc>
            </w:tr>
            <w:tr>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▲AI训练与模型管理</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预训练模型存储</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1、模型上传与存储：支持将预训练模型上传到平台，模型将被存储在指定目录下，并支持与模型相关的元数据存储（如模型名称、版本、来源等）。</w:t>
                  </w:r>
                  <w:r>
                    <w:br/>
                  </w:r>
                  <w:r>
                    <w:rPr>
                      <w:sz w:val="24"/>
                    </w:rPr>
                    <w:t>2、模型格式支持：支持常见的AI模型格式（如TensorFlow、PyTorch、Keras等）的存储。</w:t>
                  </w:r>
                  <w:r>
                    <w:br/>
                  </w:r>
                  <w:r>
                    <w:rPr>
                      <w:sz w:val="24"/>
                    </w:rPr>
                    <w:t>3、模型元数据管理：为每个存储的模型生成元数据，包括版本号、描述、训练数据、模型精度等。</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提供模型上传</w:t>
                  </w:r>
                  <w:r>
                    <w:rPr>
                      <w:sz w:val="24"/>
                    </w:rPr>
                    <w:t>API，允许用户上传不同类型的AI模型。</w:t>
                  </w:r>
                  <w:r>
                    <w:br/>
                  </w:r>
                  <w:r>
                    <w:rPr>
                      <w:sz w:val="24"/>
                    </w:rPr>
                    <w:t>提供模型元数据管理接口，支持查询、修改和更新模型元数据。</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训练模型管理</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1、模型版本控制：提供模型版本控制功能，确保每次训练生成的模型能够正确标记版本号，并与历史版本进行对比。</w:t>
                  </w:r>
                  <w:r>
                    <w:br/>
                  </w:r>
                  <w:r>
                    <w:rPr>
                      <w:sz w:val="24"/>
                    </w:rPr>
                    <w:t>2、模型存储：训练过程中生成的模型会被存储在平台中，确保模型数据的安全性和可用性。</w:t>
                  </w:r>
                  <w:r>
                    <w:br/>
                  </w:r>
                  <w:r>
                    <w:rPr>
                      <w:sz w:val="24"/>
                    </w:rPr>
                    <w:t>3、模型元数据管理：为每个训练模型生成元数据，记录训练过程中的相关信息（如训练集、算法、训练参数等），方便后续查询和分析。</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提供模型版本管理</w:t>
                  </w:r>
                  <w:r>
                    <w:rPr>
                      <w:sz w:val="24"/>
                    </w:rPr>
                    <w:t>API，支持模型版本的查询、更新、删除。</w:t>
                  </w:r>
                  <w:r>
                    <w:br/>
                  </w:r>
                  <w:r>
                    <w:rPr>
                      <w:sz w:val="24"/>
                    </w:rPr>
                    <w:t>提供训练模型元数据管理</w:t>
                  </w:r>
                  <w:r>
                    <w:rPr>
                      <w:sz w:val="24"/>
                    </w:rPr>
                    <w:t>API，支持上传和更新模型相关信息。</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模型格式转换</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1、模型格式转换：支持不同AI模型格式的转换（如TensorFlow到PyTorch、Keras到TensorFlow等）。通过提供工具扩展，支持自定义的转换规则。</w:t>
                  </w:r>
                  <w:r>
                    <w:br/>
                  </w:r>
                  <w:r>
                    <w:rPr>
                      <w:sz w:val="24"/>
                    </w:rPr>
                    <w:t>2、模型参数管理：支持训练模型的参数管理，包括对训练过程中生成的超参数和模型权重的存储与更新。</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提供模型格式转换</w:t>
                  </w:r>
                  <w:r>
                    <w:rPr>
                      <w:sz w:val="24"/>
                    </w:rPr>
                    <w:t>API，支持常见格式间的转换。</w:t>
                  </w:r>
                  <w:r>
                    <w:br/>
                  </w:r>
                  <w:r>
                    <w:rPr>
                      <w:sz w:val="24"/>
                    </w:rPr>
                    <w:t>提供模型参数管理接口，支持模型参数的导入、导出和转换。</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远程模型挂载与推理支持</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1、远程挂载支持：提供远程挂载功能，支持GPU集群访问存储在平台中的模型文件。通过挂载，推理程序可以直接访问模型文件并进行推理。</w:t>
                  </w:r>
                  <w:r>
                    <w:br/>
                  </w:r>
                  <w:r>
                    <w:rPr>
                      <w:sz w:val="24"/>
                    </w:rPr>
                    <w:t>2、模型推理支持：虽然不直接执行推理任务，但平台应提供对推理程序加载模型文件的支持，确保推理程序能够顺利运行。</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提供远程模型挂载</w:t>
                  </w:r>
                  <w:r>
                    <w:rPr>
                      <w:sz w:val="24"/>
                    </w:rPr>
                    <w:t>API，支持GPU集群对模型文件的挂载访问。</w:t>
                  </w:r>
                  <w:r>
                    <w:br/>
                  </w:r>
                  <w:r>
                    <w:rPr>
                      <w:sz w:val="24"/>
                    </w:rPr>
                    <w:t>提供模型推理相关的</w:t>
                  </w:r>
                  <w:r>
                    <w:rPr>
                      <w:sz w:val="24"/>
                    </w:rPr>
                    <w:t>API，确保推理程序能够访问存储的模型文件。</w:t>
                  </w:r>
                </w:p>
              </w:tc>
            </w:tr>
            <w:tr>
              <w:tc>
                <w:tcPr>
                  <w:tcW w:type="dxa" w:w="1111"/>
                  <w:vMerge/>
                  <w:tcBorders>
                    <w:top w:val="none" w:color="000000" w:sz="4"/>
                    <w:left w:val="singl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模型管理与审计</w:t>
                  </w:r>
                </w:p>
              </w:tc>
              <w:tc>
                <w:tcPr>
                  <w:tcW w:type="dxa" w:w="2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1、模型操作记录：对每个模型的上传、下载、更新、删除等操作进行详细记录，确保模型的完整性。</w:t>
                  </w:r>
                  <w:r>
                    <w:br/>
                  </w:r>
                  <w:r>
                    <w:rPr>
                      <w:sz w:val="24"/>
                    </w:rPr>
                    <w:t>2、审计与合规性：所有模型的操作行为（如版本更新、删除等）应满足审计要求，确保合规性。</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提供模型操作日志</w:t>
                  </w:r>
                  <w:r>
                    <w:rPr>
                      <w:sz w:val="24"/>
                    </w:rPr>
                    <w:t>API，支持查询模型的操作历史记录。</w:t>
                  </w:r>
                  <w:r>
                    <w:br/>
                  </w:r>
                  <w:r>
                    <w:rPr>
                      <w:sz w:val="24"/>
                    </w:rPr>
                    <w:t>提供审计接口，确保所有操作的合规性和透明度。</w:t>
                  </w:r>
                </w:p>
              </w:tc>
            </w:tr>
          </w:tbl>
          <w:p>
            <w:pPr>
              <w:pStyle w:val="null3"/>
              <w:jc w:val="both"/>
            </w:pPr>
            <w:r>
              <w:rPr>
                <w:sz w:val="24"/>
                <w:b/>
              </w:rPr>
              <w:t>（三）其他方案要求</w:t>
            </w:r>
          </w:p>
          <w:p>
            <w:pPr>
              <w:pStyle w:val="null3"/>
              <w:jc w:val="both"/>
            </w:pPr>
            <w:r>
              <w:rPr>
                <w:sz w:val="24"/>
              </w:rPr>
              <w:t>1</w:t>
            </w:r>
            <w:r>
              <w:rPr>
                <w:sz w:val="24"/>
              </w:rPr>
              <w:t>.投标人针对本项目提供的软件架构与功能设计方案（包括但不限于开发建设该项目拟采用的系统架构、数据架构、关键技术路线</w:t>
            </w:r>
            <w:r>
              <w:rPr>
                <w:sz w:val="24"/>
              </w:rPr>
              <w:t>、</w:t>
            </w:r>
            <w:r>
              <w:rPr>
                <w:sz w:val="24"/>
              </w:rPr>
              <w:t>功能描述说明等）：方案合理、技术可行、设计完整。</w:t>
            </w:r>
          </w:p>
          <w:p>
            <w:pPr>
              <w:pStyle w:val="null3"/>
              <w:jc w:val="both"/>
            </w:pPr>
            <w:r>
              <w:rPr>
                <w:sz w:val="24"/>
              </w:rPr>
              <w:t>2</w:t>
            </w:r>
            <w:r>
              <w:rPr>
                <w:sz w:val="24"/>
              </w:rPr>
              <w:t>.投标人针对本项目提供的分布式存储设计方案（包括但不限于存储架构、数据分片、存储扩展、数据一致性及容灾实现方式等）：架构先进，机制完善，具备高可用性与可扩展性，满足多源异构数据接入、存储与管理要求，数据安全保障能力强，方案成熟稳定。</w:t>
            </w:r>
          </w:p>
          <w:p>
            <w:pPr>
              <w:pStyle w:val="null3"/>
              <w:jc w:val="both"/>
            </w:pPr>
            <w:r>
              <w:rPr>
                <w:sz w:val="24"/>
              </w:rPr>
              <w:t>3</w:t>
            </w:r>
            <w:r>
              <w:rPr>
                <w:sz w:val="24"/>
              </w:rPr>
              <w:t>.投标人针对本项目提供的计算扩展与模块化实现方案（包括但不限于计算扩展实现方式、模块化与插件设计、数据处理工作流、批量数据处理、扩展管理模式等）：设计科学，灵活高效，具备良好的模块拆解与集成能力。</w:t>
            </w:r>
          </w:p>
          <w:p>
            <w:pPr>
              <w:pStyle w:val="null3"/>
              <w:jc w:val="both"/>
            </w:pPr>
            <w:r>
              <w:rPr>
                <w:sz w:val="24"/>
              </w:rPr>
              <w:t>4</w:t>
            </w:r>
            <w:r>
              <w:rPr>
                <w:sz w:val="24"/>
              </w:rPr>
              <w:t>.投标人针对本项目提供的卫生系统元数据扩展清单（包括但不限于数据湖医疗数据类别与对应的元数据清单等）：表格结构设计规范，内容设计清晰合理，并包含完整的类别信息。</w:t>
            </w:r>
          </w:p>
          <w:p>
            <w:pPr>
              <w:pStyle w:val="null3"/>
              <w:jc w:val="both"/>
            </w:pPr>
            <w:r>
              <w:rPr>
                <w:sz w:val="24"/>
              </w:rPr>
              <w:t>5</w:t>
            </w:r>
            <w:r>
              <w:rPr>
                <w:sz w:val="24"/>
              </w:rPr>
              <w:t>.投标人针对本项目提供的本地算力调度与模型训练集成方案（包括但不限于调度机制、系统集成能力、资源调度策略等）：具备完善的调度机制、高度的系统集成能力、灵活智能的资源调度策略，并支持便捷高效的用户操作体验。</w:t>
            </w:r>
          </w:p>
          <w:p>
            <w:pPr>
              <w:pStyle w:val="null3"/>
              <w:jc w:val="both"/>
            </w:pPr>
            <w:r>
              <w:rPr>
                <w:sz w:val="24"/>
              </w:rPr>
              <w:t>6</w:t>
            </w:r>
            <w:r>
              <w:rPr>
                <w:sz w:val="24"/>
              </w:rPr>
              <w:t>.投标人针对本项目提供的售后服务与运维方案（包括但不限于系统上线后的技术支持、运行保障、故障响应、安全管理、人员培训等）：完善具体，结构清晰，内容详实，安排合理。</w:t>
            </w:r>
          </w:p>
          <w:p>
            <w:pPr>
              <w:pStyle w:val="null3"/>
              <w:jc w:val="left"/>
            </w:pPr>
            <w:r>
              <w:rPr>
                <w:sz w:val="24"/>
                <w:b/>
              </w:rPr>
              <w:t>（四）</w:t>
            </w:r>
            <w:r>
              <w:rPr>
                <w:sz w:val="24"/>
                <w:b/>
              </w:rPr>
              <w:t>运维服务质量考核表</w:t>
            </w:r>
            <w:r>
              <w:br/>
            </w:r>
            <w:r>
              <w:rPr>
                <w:sz w:val="24"/>
              </w:rPr>
              <w:t>考核满分为</w:t>
            </w:r>
            <w:r>
              <w:rPr>
                <w:sz w:val="24"/>
              </w:rPr>
              <w:t>100分。评分细则如下</w:t>
            </w:r>
            <w:r>
              <w:rPr>
                <w:sz w:val="24"/>
              </w:rPr>
              <w:t>（</w:t>
            </w:r>
            <w:r>
              <w:rPr>
                <w:sz w:val="24"/>
              </w:rPr>
              <w:t>扣减分情况</w:t>
            </w:r>
            <w:r>
              <w:rPr>
                <w:sz w:val="24"/>
              </w:rPr>
              <w:t>）</w:t>
            </w:r>
            <w:r>
              <w:rPr>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741"/>
              <w:gridCol w:w="970"/>
              <w:gridCol w:w="3185"/>
              <w:gridCol w:w="700"/>
            </w:tblGrid>
            <w:tr>
              <w:tc>
                <w:tcPr>
                  <w:tcW w:type="dxa" w:w="741"/>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b/>
                    </w:rPr>
                    <w:t>序号</w:t>
                  </w:r>
                </w:p>
              </w:tc>
              <w:tc>
                <w:tcPr>
                  <w:tcW w:type="dxa" w:w="970"/>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b/>
                    </w:rPr>
                    <w:t>考核项目</w:t>
                  </w:r>
                </w:p>
              </w:tc>
              <w:tc>
                <w:tcPr>
                  <w:tcW w:type="dxa" w:w="3185"/>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b/>
                    </w:rPr>
                    <w:t>评分细则</w:t>
                  </w:r>
                </w:p>
              </w:tc>
              <w:tc>
                <w:tcPr>
                  <w:tcW w:type="dxa" w:w="700"/>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b/>
                    </w:rPr>
                    <w:t>扣分情况</w:t>
                  </w:r>
                </w:p>
              </w:tc>
            </w:tr>
            <w:tr>
              <w:tc>
                <w:tcPr>
                  <w:tcW w:type="dxa" w:w="741"/>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1</w:t>
                  </w:r>
                </w:p>
              </w:tc>
              <w:tc>
                <w:tcPr>
                  <w:tcW w:type="dxa" w:w="970"/>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优化需求管理</w:t>
                  </w: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1、未能按时完成需求收集工作，扣2分。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tcBorders>
                    <w:top w:val="none" w:color="000000" w:sz="4"/>
                    <w:left w:val="single" w:color="000000" w:sz="4"/>
                    <w:bottom w:val="single" w:color="000000" w:sz="4"/>
                    <w:right w:val="single" w:color="000000" w:sz="4"/>
                  </w:tcBorders>
                </w:tcPr>
                <w:p/>
              </w:tc>
              <w:tc>
                <w:tcPr>
                  <w:tcW w:type="dxa" w:w="970"/>
                  <w:vMerge/>
                  <w:tcBorders>
                    <w:top w:val="none" w:color="000000" w:sz="4"/>
                    <w:left w:val="none" w:color="000000" w:sz="4"/>
                    <w:bottom w:val="single" w:color="000000" w:sz="4"/>
                    <w:right w:val="single" w:color="000000" w:sz="4"/>
                  </w:tcBorders>
                </w:tcP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2、擅自修改已确定的优化需求范围，不通报采购人对接人的，发现一次扣2分。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tcBorders>
                    <w:top w:val="none" w:color="000000" w:sz="4"/>
                    <w:left w:val="single" w:color="000000" w:sz="4"/>
                    <w:bottom w:val="single" w:color="000000" w:sz="4"/>
                    <w:right w:val="single" w:color="000000" w:sz="4"/>
                  </w:tcBorders>
                </w:tcPr>
                <w:p/>
              </w:tc>
              <w:tc>
                <w:tcPr>
                  <w:tcW w:type="dxa" w:w="970"/>
                  <w:vMerge/>
                  <w:tcBorders>
                    <w:top w:val="none" w:color="000000" w:sz="4"/>
                    <w:left w:val="none" w:color="000000" w:sz="4"/>
                    <w:bottom w:val="single" w:color="000000" w:sz="4"/>
                    <w:right w:val="single" w:color="000000" w:sz="4"/>
                  </w:tcBorders>
                </w:tcP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3、发现重大优化需求分析缺陷，扣2分。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2</w:t>
                  </w:r>
                </w:p>
              </w:tc>
              <w:tc>
                <w:tcPr>
                  <w:tcW w:type="dxa" w:w="970"/>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沟通管理</w:t>
                  </w: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1、对外擅自承诺新版本发布或BUG修复时间，发现一次扣2分。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tcBorders>
                    <w:top w:val="none" w:color="000000" w:sz="4"/>
                    <w:left w:val="single" w:color="000000" w:sz="4"/>
                    <w:bottom w:val="single" w:color="000000" w:sz="4"/>
                    <w:right w:val="single" w:color="000000" w:sz="4"/>
                  </w:tcBorders>
                </w:tcPr>
                <w:p/>
              </w:tc>
              <w:tc>
                <w:tcPr>
                  <w:tcW w:type="dxa" w:w="970"/>
                  <w:vMerge/>
                  <w:tcBorders>
                    <w:top w:val="none" w:color="000000" w:sz="4"/>
                    <w:left w:val="none" w:color="000000" w:sz="4"/>
                    <w:bottom w:val="single" w:color="000000" w:sz="4"/>
                    <w:right w:val="single" w:color="000000" w:sz="4"/>
                  </w:tcBorders>
                </w:tcP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2、项目软件有BUG,发现以后不及时通报采购人对接人，不能及时解决因为BUG导致的开发问题，发现一次扣3分。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3</w:t>
                  </w:r>
                </w:p>
              </w:tc>
              <w:tc>
                <w:tcPr>
                  <w:tcW w:type="dxa" w:w="970"/>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故障处理及</w:t>
                  </w:r>
                  <w:r>
                    <w:rPr>
                      <w:sz w:val="24"/>
                    </w:rPr>
                    <w:t>Bug修复时限</w:t>
                  </w: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1、引起业务中断的故障（明确非项目软件原因除外），每发生一次重大故障扣5分到15分</w:t>
                  </w:r>
                  <w:r>
                    <w:rPr>
                      <w:sz w:val="24"/>
                    </w:rPr>
                    <w:t>；</w:t>
                  </w:r>
                  <w:r>
                    <w:rPr>
                      <w:sz w:val="24"/>
                    </w:rPr>
                    <w:t>每发生一次非重大故障扣</w:t>
                  </w:r>
                  <w:r>
                    <w:rPr>
                      <w:sz w:val="24"/>
                    </w:rPr>
                    <w:t>1分到4分；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tcBorders>
                    <w:top w:val="none" w:color="000000" w:sz="4"/>
                    <w:left w:val="single" w:color="000000" w:sz="4"/>
                    <w:bottom w:val="single" w:color="000000" w:sz="4"/>
                    <w:right w:val="single" w:color="000000" w:sz="4"/>
                  </w:tcBorders>
                </w:tcPr>
                <w:p/>
              </w:tc>
              <w:tc>
                <w:tcPr>
                  <w:tcW w:type="dxa" w:w="970"/>
                  <w:vMerge/>
                  <w:tcBorders>
                    <w:top w:val="none" w:color="000000" w:sz="4"/>
                    <w:left w:val="none" w:color="000000" w:sz="4"/>
                    <w:bottom w:val="single" w:color="000000" w:sz="4"/>
                    <w:right w:val="single" w:color="000000" w:sz="4"/>
                  </w:tcBorders>
                </w:tcP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2、因文档不全、人员未及时到位等导致不能及时进行故障处理，每次扣2分；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tcBorders>
                    <w:top w:val="none" w:color="000000" w:sz="4"/>
                    <w:left w:val="single" w:color="000000" w:sz="4"/>
                    <w:bottom w:val="single" w:color="000000" w:sz="4"/>
                    <w:right w:val="single" w:color="000000" w:sz="4"/>
                  </w:tcBorders>
                </w:tcPr>
                <w:p/>
              </w:tc>
              <w:tc>
                <w:tcPr>
                  <w:tcW w:type="dxa" w:w="970"/>
                  <w:vMerge/>
                  <w:tcBorders>
                    <w:top w:val="none" w:color="000000" w:sz="4"/>
                    <w:left w:val="none" w:color="000000" w:sz="4"/>
                    <w:bottom w:val="single" w:color="000000" w:sz="4"/>
                    <w:right w:val="single" w:color="000000" w:sz="4"/>
                  </w:tcBorders>
                </w:tcP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3、未按照共同确定的时限修复软件BUG,发现一次扣5分。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4</w:t>
                  </w:r>
                </w:p>
              </w:tc>
              <w:tc>
                <w:tcPr>
                  <w:tcW w:type="dxa" w:w="970"/>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文档管理</w:t>
                  </w: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1、优化版本没有完整的设计、实施、开发、维护文档，而发布上线，发现一次扣3分。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tcBorders>
                    <w:top w:val="none" w:color="000000" w:sz="4"/>
                    <w:left w:val="single" w:color="000000" w:sz="4"/>
                    <w:bottom w:val="single" w:color="000000" w:sz="4"/>
                    <w:right w:val="single" w:color="000000" w:sz="4"/>
                  </w:tcBorders>
                </w:tcPr>
                <w:p/>
              </w:tc>
              <w:tc>
                <w:tcPr>
                  <w:tcW w:type="dxa" w:w="970"/>
                  <w:vMerge/>
                  <w:tcBorders>
                    <w:top w:val="none" w:color="000000" w:sz="4"/>
                    <w:left w:val="none" w:color="000000" w:sz="4"/>
                    <w:bottom w:val="single" w:color="000000" w:sz="4"/>
                    <w:right w:val="single" w:color="000000" w:sz="4"/>
                  </w:tcBorders>
                </w:tcP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2、文档更新不及时，发现一次扣1分，引起问题的，发现一次扣2分。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741"/>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5</w:t>
                  </w:r>
                </w:p>
              </w:tc>
              <w:tc>
                <w:tcPr>
                  <w:tcW w:type="dxa" w:w="97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版本管理</w:t>
                  </w: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1、没有及时按要求进行版本的升级维护，发现一次扣3分。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6</w:t>
                  </w:r>
                </w:p>
              </w:tc>
              <w:tc>
                <w:tcPr>
                  <w:tcW w:type="dxa" w:w="970"/>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日常维护</w:t>
                  </w: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1、电话支持服务：</w:t>
                  </w:r>
                  <w:r>
                    <w:br/>
                  </w:r>
                  <w:r>
                    <w:rPr>
                      <w:sz w:val="24"/>
                    </w:rPr>
                    <w:t>上班时间无人接听支持电话，每发生一次扣</w:t>
                  </w:r>
                  <w:r>
                    <w:rPr>
                      <w:sz w:val="24"/>
                    </w:rPr>
                    <w:t>1分；</w:t>
                  </w:r>
                  <w:r>
                    <w:br/>
                  </w:r>
                  <w:r>
                    <w:rPr>
                      <w:sz w:val="24"/>
                    </w:rPr>
                    <w:t>接听支持电话时，态度不好或推诿，每发生一次扣</w:t>
                  </w:r>
                  <w:r>
                    <w:rPr>
                      <w:sz w:val="24"/>
                    </w:rPr>
                    <w:t>1分；</w:t>
                  </w:r>
                  <w:r>
                    <w:br/>
                  </w:r>
                  <w:r>
                    <w:rPr>
                      <w:sz w:val="24"/>
                    </w:rPr>
                    <w:t>对于无法电话中解决的问题，下一步解决安排不妥当而导致投诉升级，每发生一次扣</w:t>
                  </w:r>
                  <w:r>
                    <w:rPr>
                      <w:sz w:val="24"/>
                    </w:rPr>
                    <w:t>2分；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vMerge/>
                  <w:tcBorders>
                    <w:top w:val="none" w:color="000000" w:sz="4"/>
                    <w:left w:val="single" w:color="000000" w:sz="4"/>
                    <w:bottom w:val="single" w:color="000000" w:sz="4"/>
                    <w:right w:val="single" w:color="000000" w:sz="4"/>
                  </w:tcBorders>
                </w:tcPr>
                <w:p/>
              </w:tc>
              <w:tc>
                <w:tcPr>
                  <w:tcW w:type="dxa" w:w="970"/>
                  <w:vMerge/>
                  <w:tcBorders>
                    <w:top w:val="none" w:color="000000" w:sz="4"/>
                    <w:left w:val="none" w:color="000000" w:sz="4"/>
                    <w:bottom w:val="single" w:color="000000" w:sz="4"/>
                    <w:right w:val="single" w:color="000000" w:sz="4"/>
                  </w:tcBorders>
                </w:tcP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2、邮件支持服务：</w:t>
                  </w:r>
                  <w:r>
                    <w:br/>
                  </w:r>
                  <w:r>
                    <w:rPr>
                      <w:sz w:val="24"/>
                    </w:rPr>
                    <w:t>收到用户（含用户方集成商）反映问题的邮件后，在</w:t>
                  </w:r>
                  <w:r>
                    <w:rPr>
                      <w:sz w:val="24"/>
                    </w:rPr>
                    <w:t>24小时内不处理（周六、日除外），每发生一次扣1分；</w:t>
                  </w:r>
                  <w:r>
                    <w:br/>
                  </w:r>
                  <w:r>
                    <w:rPr>
                      <w:sz w:val="24"/>
                    </w:rPr>
                    <w:t>处理完用户的问题后，不及时反馈，每发生一次扣</w:t>
                  </w:r>
                  <w:r>
                    <w:rPr>
                      <w:sz w:val="24"/>
                    </w:rPr>
                    <w:t>1分；</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7</w:t>
                  </w:r>
                </w:p>
              </w:tc>
              <w:tc>
                <w:tcPr>
                  <w:tcW w:type="dxa" w:w="97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重大事项一票否决规定</w:t>
                  </w: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对于项目软件提供商严重违反规定，如：项目严重超期、产品质量严重不符合采购人要求、泄露系统配置、系统信息、相关文档内容和核心技术；因其他原因导致重大故障，引起严重后果。当次考核得分为零，并按相关规定追究当事人及所在公司的责任。</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41"/>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8</w:t>
                  </w:r>
                </w:p>
              </w:tc>
              <w:tc>
                <w:tcPr>
                  <w:tcW w:type="dxa" w:w="97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奖励和加分说明</w:t>
                  </w:r>
                </w:p>
              </w:tc>
              <w:tc>
                <w:tcPr>
                  <w:tcW w:type="dxa" w:w="318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4"/>
                    </w:rPr>
                    <w:t>1.奖励得分前提条件为当月基本得分在80分以上，且奖励总分原则上不超过20分，奖励分数+当月基本得分原则上不超过100分。</w:t>
                  </w:r>
                </w:p>
                <w:p>
                  <w:pPr>
                    <w:pStyle w:val="null3"/>
                    <w:jc w:val="left"/>
                  </w:pPr>
                  <w:r>
                    <w:rPr>
                      <w:sz w:val="24"/>
                    </w:rPr>
                    <w:t>2.发现基于此项目在开发和维护管理中存在风险并及时提出解决方案每次可给予5分奖励。</w:t>
                  </w:r>
                </w:p>
                <w:p>
                  <w:pPr>
                    <w:pStyle w:val="null3"/>
                    <w:jc w:val="left"/>
                  </w:pPr>
                  <w:r>
                    <w:rPr>
                      <w:sz w:val="24"/>
                    </w:rPr>
                    <w:t>3.发生系统故障，并积极主动配合并挽回或避免损失可给予2到6分奖励。</w:t>
                  </w:r>
                </w:p>
                <w:p>
                  <w:pPr>
                    <w:pStyle w:val="null3"/>
                    <w:jc w:val="left"/>
                  </w:pPr>
                  <w:r>
                    <w:rPr>
                      <w:sz w:val="24"/>
                    </w:rPr>
                    <w:t>4.提出有价值的合理化建议，每次给予加1分奖励，如果采纳并取得显著效果的，每次给予加5分奖励。</w:t>
                  </w:r>
                </w:p>
                <w:p>
                  <w:pPr>
                    <w:pStyle w:val="null3"/>
                    <w:jc w:val="left"/>
                  </w:pPr>
                  <w:r>
                    <w:rPr>
                      <w:sz w:val="24"/>
                    </w:rPr>
                    <w:t>5.对投诉处理积极主动，提出合理化解决投诉方案，配合解决好重大投诉,可给与1-5分奖励。</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4896"/>
                  <w:gridSpan w:val="3"/>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总得分（扣减分后）</w:t>
                  </w:r>
                </w:p>
              </w:tc>
              <w:tc>
                <w:tcPr>
                  <w:tcW w:type="dxa" w:w="7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left"/>
            </w:pPr>
            <w:r>
              <w:rPr>
                <w:sz w:val="24"/>
              </w:rPr>
              <w:t>考核说明：采用</w:t>
            </w:r>
            <w:r>
              <w:rPr>
                <w:sz w:val="24"/>
              </w:rPr>
              <w:t>100分制，运维服务期内，采购人每半年对中标供应商的运维服务质量情况进行考核，采购人根据中标供应商该年度两次运维服务质量考核结果</w:t>
            </w:r>
            <w:r>
              <w:rPr>
                <w:sz w:val="24"/>
              </w:rPr>
              <w:t>的平均值</w:t>
            </w:r>
            <w:r>
              <w:rPr>
                <w:sz w:val="24"/>
              </w:rPr>
              <w:t>支付运维服务期满后的服务费：</w:t>
            </w:r>
          </w:p>
          <w:p>
            <w:pPr>
              <w:pStyle w:val="null3"/>
              <w:ind w:firstLine="480"/>
              <w:jc w:val="left"/>
            </w:pPr>
            <w:r>
              <w:rPr>
                <w:sz w:val="24"/>
              </w:rPr>
              <w:t>1.优秀：运维服务质量考核在90分（含）以上，足额支付运维服务期满后的服务费。</w:t>
            </w:r>
          </w:p>
          <w:p>
            <w:pPr>
              <w:pStyle w:val="null3"/>
              <w:ind w:firstLine="480"/>
              <w:jc w:val="left"/>
            </w:pPr>
            <w:r>
              <w:rPr>
                <w:sz w:val="24"/>
              </w:rPr>
              <w:t>2.良好：运维服务质量考核在80分-89分，扣除运维服务期满后的服务费人民币</w:t>
            </w:r>
            <w:r>
              <w:rPr>
                <w:sz w:val="24"/>
                <w:u w:val="single"/>
              </w:rPr>
              <w:t>2,000.00</w:t>
            </w:r>
            <w:r>
              <w:rPr>
                <w:sz w:val="24"/>
              </w:rPr>
              <w:t>元，并责令中标供应商加强运维服务质量管理。</w:t>
            </w:r>
          </w:p>
          <w:p>
            <w:pPr>
              <w:pStyle w:val="null3"/>
              <w:ind w:firstLine="480"/>
              <w:jc w:val="left"/>
            </w:pPr>
            <w:r>
              <w:rPr>
                <w:sz w:val="24"/>
              </w:rPr>
              <w:t>3.合格：运维服务质量考核在60分-79分，扣除运维服务期满后的服务费人民币</w:t>
            </w:r>
            <w:r>
              <w:rPr>
                <w:sz w:val="24"/>
                <w:u w:val="single"/>
              </w:rPr>
              <w:t>5,000.00</w:t>
            </w:r>
            <w:r>
              <w:rPr>
                <w:sz w:val="24"/>
              </w:rPr>
              <w:t>元并责令整改，若整改无效的采购人有权单方面解除合同并没收履约保证金，一切责任与采购人无关。</w:t>
            </w:r>
          </w:p>
          <w:p>
            <w:pPr>
              <w:pStyle w:val="null3"/>
              <w:jc w:val="both"/>
            </w:pPr>
            <w:r>
              <w:rPr>
                <w:sz w:val="24"/>
              </w:rPr>
              <w:t>4.不合格：运维服务质量考核在60分（不含）以下，扣除运维服务期满后的服务费且采购人有权没收履约保证金及单方面解除合同，由此产生的一切责任由中标供应商承担。</w:t>
            </w:r>
            <w:r>
              <w:br/>
            </w:r>
            <w:r>
              <w:rPr>
                <w:sz w:val="24"/>
              </w:rPr>
              <w:t>注：年度两次运维服务质量考核结果的平均值达到合格或以上并按</w:t>
            </w:r>
            <w:r>
              <w:rPr>
                <w:sz w:val="24"/>
              </w:rPr>
              <w:t>采购人</w:t>
            </w:r>
            <w:r>
              <w:rPr>
                <w:sz w:val="24"/>
              </w:rPr>
              <w:t>要求整改（如有）完毕则视为最终验收合格。</w:t>
            </w:r>
          </w:p>
          <w:p>
            <w:pPr>
              <w:pStyle w:val="null3"/>
              <w:jc w:val="both"/>
            </w:pPr>
            <w:r>
              <w:br/>
            </w:r>
            <w:r>
              <w:br/>
            </w:r>
            <w:r>
              <w:br/>
            </w: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1.采购代理机构：本项目是指广东信诚招标代理咨询有限公司佛山分公司，负责整个采购活动的组织，依法负责编制和发布招标文件，对招标文件拥有最终的解释权，不以任何身份出任评标委员会成员。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佛山市南海区第五人民医院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向中标供应商收取，收费标准参照《招标代理服务收费管理暂行办法》（计价格〔2002〕1980号)附表服务类招标收费标准向中标(成交)人收取中标服务费，以中标价为计费基数计算代理费后下浮30%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其他，1.投标人需登录广东政府采购智慧云平台项目采购系统的等候大厅留意投标文件澄清等环节信息，在规定时间内完成对应的响应并加盖电子印章（未按要求进行响应，由此造成的后果由投标人自行承担）。 2.投标文件信息公开要求，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递交投标文件后视为已作出以下承诺：（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非公开资料/保密内容和其他不可公开的内容。如若中标，同意采购人或其委托的代理机构将上述应公示的内容予以公开。 3.投标人应按照本项目招标公告附件的《工程类、服务类项目中小企业声明函模板（填写说明）》进行响应，否则不予认定。 4.根据《佛山市政务服务数据管理局佛山市财政局关于进一步促进公平竞争优化政府采购营商环境的通知》（佛政数函[2021]54号），参与政府采购的中小微企业可凭借中标通知书或政府采购合同，利用“省中小融”、“粤信融”、“中征应收账款融资服务平台”等平台向金融机构申请融资，获得无财产抵押贷款。 5.资金来源：自筹资金，本项目属于政府采购项目。 6.招标文件附件：投标人应将招标公告中“相关附件”（如有）内容填写好相关信息后附在投标文件中。 7.本项目投标报价采用人民币元为单位，在《开标一览表》中“投标报价（元/%）”因系统格式问题无法调整，实际应为“投标报价（元）”；因第六章投标文件格式与要求为系统直接生成无法调整，请投标人根据本项目的实际情况、项目特点情况选用。 8.响应文件内证明材料：投标人所提供的证明材料复印件或扫描件须清晰可辨，明确反应相关响应的信息，否则可能导致其投标无效或被拒绝。 9.根据《佛山市财政局关于加强政府采购管理进一步优化政府采购营商环境的通知》（佛财采购函[2024] 8号）要求，原则上在中标(成交)通知书发出之日起20日内签订合同；合同签订无需经单位集体会议决策的，应当在中标(成交)通知书发出之日起10日内签订政府采购合同。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广东信诚招标代理咨询有限公司佛山分公司</w:t>
      </w:r>
      <w:r>
        <w:rPr/>
        <w:t>代收。具体操作要求详见</w:t>
      </w:r>
      <w:r>
        <w:rPr/>
        <w:t>广东信诚招标代理咨询有限公司佛山分公司</w:t>
      </w:r>
      <w:r>
        <w:rPr/>
        <w:t>有关指引，递交事宜请自行咨询</w:t>
      </w:r>
      <w:r>
        <w:rPr/>
        <w:t>广东信诚招标代理咨询有限公司佛山分公司</w:t>
      </w:r>
      <w:r>
        <w:rPr/>
        <w:t>；请各投标人在投标文件递交截止时间前按须知前附表规定的金额递交至</w:t>
      </w:r>
      <w:r>
        <w:rPr/>
        <w:t>广东信诚招标代理咨询有限公司佛山分公司</w:t>
      </w:r>
      <w:r>
        <w:rPr/>
        <w:t>，到账情况以开标时</w:t>
      </w:r>
      <w:r>
        <w:rPr/>
        <w:t>广东信诚招标代理咨询有限公司佛山分公司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广东省公共资源交易平台（https://ygp.gdzwfw.gov.cn/ggzy-portal/#/440600/index），佛山市南海区人民政府网（http://www.nanhai.gov.cn/），广东信诚招标代理咨询有限公司（http://www.gdxczb.cn/）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广东省公共资源交易平台（https://ygp.gdzwfw.gov.cn/ggzy-portal/#/440600/index），佛山市南海区人民政府网（http://www.nanhai.gov.cn/），广东信诚招标代理咨询有限公司（http://www.gdxczb.cn/）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蔡先生</w:t>
      </w:r>
    </w:p>
    <w:p>
      <w:pPr>
        <w:pStyle w:val="null3"/>
        <w:ind w:firstLine="480"/>
      </w:pPr>
      <w:r>
        <w:rPr/>
        <w:t>电话：</w:t>
      </w:r>
      <w:r>
        <w:rPr/>
        <w:t>0757-85753190</w:t>
      </w:r>
    </w:p>
    <w:p>
      <w:pPr>
        <w:pStyle w:val="null3"/>
        <w:ind w:firstLine="480"/>
      </w:pPr>
      <w:r>
        <w:rPr/>
        <w:t>传真：</w:t>
      </w:r>
      <w:r>
        <w:rPr/>
        <w:t>/</w:t>
      </w:r>
    </w:p>
    <w:p>
      <w:pPr>
        <w:pStyle w:val="null3"/>
        <w:ind w:firstLine="480"/>
      </w:pPr>
      <w:r>
        <w:rPr/>
        <w:t>邮箱：</w:t>
      </w:r>
      <w:r>
        <w:rPr/>
        <w:t>gdxc@gdxczb.cn</w:t>
      </w:r>
    </w:p>
    <w:p>
      <w:pPr>
        <w:pStyle w:val="null3"/>
        <w:ind w:firstLine="480"/>
      </w:pPr>
      <w:r>
        <w:rPr/>
        <w:t>地址：</w:t>
      </w:r>
      <w:r>
        <w:rPr/>
        <w:t>佛山市南海区大沥镇广佛公路平地段38号万成广场A座2008室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采购包1(数据运维管控体系建设)：综合评分法,是指投标文件满足招标文件全部实质性要求，且按照评审因素的量化指标评审得分最高的投标人为中标候选人的评标方法。（最低报价不是中标的唯一依据。）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广东信诚招标代理咨询有限公司佛山分公司</w:t>
      </w:r>
      <w:r>
        <w:rPr/>
        <w:t>统一对外发布。</w:t>
      </w:r>
    </w:p>
    <w:p>
      <w:pPr>
        <w:pStyle w:val="null3"/>
        <w:ind w:firstLine="480"/>
      </w:pPr>
      <w:r>
        <w:rPr/>
        <w:t>（2）对</w:t>
      </w:r>
      <w:r>
        <w:rPr/>
        <w:t>广东信诚招标代理咨询有限公司佛山分公司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采购包1（数据运维管控体系建设）：</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采购包1（数据运维管控体系建设）：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投标人公章的《政府采购供应商资格信用承诺函》（详见招标公告附件）或提供以下资料：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投标人公章的《政府采购供应商资格信用承诺函》（详见招标公告附件）或提供以下资料：提供2024年度经审计的财务状况报告或基本开户行出具的资信证明或财政部门认可的政府采购专业担保机构出具的担保函,成立不足一年的单位可以提供投标截止前上一季度或月份财务会计报表；</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认定为200万元以上的罚款，法律、行政法规以及国务院有关部门明确规定相关领域“较大数额罚款”标准高于200万元的，从其规定。）；6）法律、行政法规规定的其他条件。</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为本项目提供整体设计、规范编制或者项目管理、监理、检测等服务的供应商，不得再参与本项目投标（参照投标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小微企业采购，小微企业以供应商填写的《中小企业声明函(工程、服务)》（见招标文件格式）为判定标准，残疾人福利性单位以供应商提供的《残疾人福利性单位声明函》(见招标文件格式)为判定标准，监狱企业须供应商提供由省级以上监狱管理局、戒毒管理局(含新疆生产建设兵团)出具的属于监狱企业的证明文件。本项目的中小企业划分标准所属行业为：软件和信息技术服务业。</w:t>
            </w:r>
          </w:p>
        </w:tc>
      </w:tr>
    </w:tbl>
    <w:p>
      <w:pPr>
        <w:pStyle w:val="null3"/>
        <w:ind w:firstLine="480"/>
      </w:pPr>
      <w:r>
        <w:rPr/>
        <w:t>表二符合性审查表：</w:t>
      </w:r>
    </w:p>
    <w:p>
      <w:pPr>
        <w:pStyle w:val="null3"/>
      </w:pPr>
      <w:r>
        <w:rPr/>
        <w:t>采购包1（数据运维管控体系建设）：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法定代表人（负责人）证明书、法定代表人（负责人）授权委托书按对应格式文件签署、盖章。</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投标报价未超出本项目该采购包的预算金额。</w:t>
            </w:r>
          </w:p>
        </w:tc>
      </w:tr>
      <w:tr>
        <w:tc>
          <w:tcPr>
            <w:tcW w:type="dxa" w:w="890"/>
          </w:tcPr>
          <w:p>
            <w:pPr>
              <w:pStyle w:val="null3"/>
            </w:pPr>
            <w:r>
              <w:rPr/>
              <w:t>6</w:t>
            </w:r>
          </w:p>
        </w:tc>
        <w:tc>
          <w:tcPr>
            <w:tcW w:type="dxa" w:w="3178"/>
          </w:tcPr>
          <w:p>
            <w:pPr>
              <w:pStyle w:val="null3"/>
            </w:pPr>
            <w:r>
              <w:rPr/>
              <w:t>“★”号实质性响应情况</w:t>
            </w:r>
          </w:p>
        </w:tc>
        <w:tc>
          <w:tcPr>
            <w:tcW w:type="dxa" w:w="4238"/>
          </w:tcPr>
          <w:p>
            <w:pPr>
              <w:pStyle w:val="null3"/>
            </w:pPr>
            <w:r>
              <w:rPr/>
              <w:t>投标文件完全满足招标文件的“★”号实质性条款。投标时须按要求填写（技术和服务要求响应表）及（商务条件响应表）（如有要求提供相关证明材料须按要求提供证明材料）。</w:t>
            </w:r>
          </w:p>
        </w:tc>
      </w:tr>
      <w:tr>
        <w:tc>
          <w:tcPr>
            <w:tcW w:type="dxa" w:w="890"/>
          </w:tcPr>
          <w:p>
            <w:pPr>
              <w:pStyle w:val="null3"/>
            </w:pPr>
            <w:r>
              <w:rPr/>
              <w:t>7</w:t>
            </w:r>
          </w:p>
        </w:tc>
        <w:tc>
          <w:tcPr>
            <w:tcW w:type="dxa" w:w="3178"/>
          </w:tcPr>
          <w:p>
            <w:pPr>
              <w:pStyle w:val="null3"/>
            </w:pPr>
            <w:r>
              <w:rPr/>
              <w:t>其它</w:t>
            </w:r>
          </w:p>
        </w:tc>
        <w:tc>
          <w:tcPr>
            <w:tcW w:type="dxa" w:w="4238"/>
          </w:tcPr>
          <w:p>
            <w:pPr>
              <w:pStyle w:val="null3"/>
            </w:pPr>
            <w:r>
              <w:rPr/>
              <w:t>投标文件中没有法律、法规和招标文件规定的其他无效情形。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采购包1(数据运维管控体系建设):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重要技术参数响应程度 (5.0分)</w:t>
            </w:r>
          </w:p>
        </w:tc>
        <w:tc>
          <w:tcPr>
            <w:tcW w:type="dxa" w:w="5076"/>
          </w:tcPr>
          <w:p>
            <w:pPr>
              <w:pStyle w:val="null3"/>
              <w:jc w:val="left"/>
            </w:pPr>
            <w:r>
              <w:rPr/>
              <w:t>投标人对“第二章 采购需求”的“附表一”的“（二）采购清单及要求”的“2.详细技术参数要求”带“▲”的重要技术参数进行逐一响应，每满足1项得1分，本项共5分。 注：投标人需在投标文件中做出相应技术响应，如不响应或响应的内容不满足参数要求，则视为负偏离。若参数要求中“▲”标注位置为“一级功能模块”则“二级功能模块、功能描述、技术参数及要求”整体作为一项参数，以此类推。</w:t>
            </w:r>
          </w:p>
        </w:tc>
      </w:tr>
      <w:tr>
        <w:tc>
          <w:tcPr>
            <w:tcW w:type="dxa" w:w="922"/>
            <w:gridSpan w:val="2"/>
            <w:vMerge/>
          </w:tcPr>
          <w:p/>
        </w:tc>
        <w:tc>
          <w:tcPr>
            <w:tcW w:type="dxa" w:w="2307"/>
          </w:tcPr>
          <w:p>
            <w:pPr>
              <w:pStyle w:val="null3"/>
              <w:jc w:val="left"/>
            </w:pPr>
            <w:r>
              <w:rPr/>
              <w:t>软件架构与功能设计方案 (7.0分)</w:t>
            </w:r>
          </w:p>
        </w:tc>
        <w:tc>
          <w:tcPr>
            <w:tcW w:type="dxa" w:w="5076"/>
          </w:tcPr>
          <w:p>
            <w:pPr>
              <w:pStyle w:val="null3"/>
              <w:jc w:val="left"/>
            </w:pPr>
            <w:r>
              <w:rPr/>
              <w:t>投标人根据“第二章 采购需求”的“附表一”的“（三）其他方案要求”内容提供的软件架构与功能设计方案进行评审： 1.针对本项目提供的软件架构与方案完全满足且优于采购需求的，得7分； 2.针对本项目提供的软件架构与方案完全满足采购需求的，得4分； 3.针对本项目提供的软件架构与方案不能完全满足采购需求的，得1分； 4.不提供或其他情况，得0分。</w:t>
            </w:r>
          </w:p>
        </w:tc>
      </w:tr>
      <w:tr>
        <w:tc>
          <w:tcPr>
            <w:tcW w:type="dxa" w:w="922"/>
            <w:gridSpan w:val="2"/>
            <w:vMerge/>
          </w:tcPr>
          <w:p/>
        </w:tc>
        <w:tc>
          <w:tcPr>
            <w:tcW w:type="dxa" w:w="2307"/>
          </w:tcPr>
          <w:p>
            <w:pPr>
              <w:pStyle w:val="null3"/>
              <w:jc w:val="left"/>
            </w:pPr>
            <w:r>
              <w:rPr/>
              <w:t>分布式存储设计方案 (7.0分)</w:t>
            </w:r>
          </w:p>
        </w:tc>
        <w:tc>
          <w:tcPr>
            <w:tcW w:type="dxa" w:w="5076"/>
          </w:tcPr>
          <w:p>
            <w:pPr>
              <w:pStyle w:val="null3"/>
              <w:jc w:val="left"/>
            </w:pPr>
            <w:r>
              <w:rPr/>
              <w:t>投标人根据“第二章 采购需求”的“附表一”的“（三）其他方案要求”内容提供的分布式存储设计方案进行评审: 1.针对本项目提供的分布式存储设计方案完全满足且优于采购需求的，得7分； 2.针对本项目提供的分布式存储设计方案完全满足采购需求的，得4分； 3.针对本项目提供的分布式存储设计方案不能完全满足采购需求的，得1分； 4.不提供或其他情况，得0分。</w:t>
            </w:r>
          </w:p>
        </w:tc>
      </w:tr>
      <w:tr>
        <w:tc>
          <w:tcPr>
            <w:tcW w:type="dxa" w:w="922"/>
            <w:gridSpan w:val="2"/>
            <w:vMerge/>
          </w:tcPr>
          <w:p/>
        </w:tc>
        <w:tc>
          <w:tcPr>
            <w:tcW w:type="dxa" w:w="2307"/>
          </w:tcPr>
          <w:p>
            <w:pPr>
              <w:pStyle w:val="null3"/>
              <w:jc w:val="left"/>
            </w:pPr>
            <w:r>
              <w:rPr/>
              <w:t>计算扩展与模块化实现方案 (7.0分)</w:t>
            </w:r>
          </w:p>
        </w:tc>
        <w:tc>
          <w:tcPr>
            <w:tcW w:type="dxa" w:w="5076"/>
          </w:tcPr>
          <w:p>
            <w:pPr>
              <w:pStyle w:val="null3"/>
              <w:jc w:val="left"/>
            </w:pPr>
            <w:r>
              <w:rPr/>
              <w:t>投标人根据“第二章 采购需求”的“附表一”的“（三）其他方案要求”内容提供的计算扩展与模块化实现方案进行评审: 1.针对本项目提供的计算扩展与模块化实现方案完全满足且优于采购需求的，得7分； 2.针对本项目提供的计算扩展与模块化实现方案完全满足采购需求的，得4分； 3.针对本项目提供的计算扩展与模块化实现方案不能完全满足采购需求的，得1分； 4.不提供或其他情况，得0分。</w:t>
            </w:r>
          </w:p>
        </w:tc>
      </w:tr>
      <w:tr>
        <w:tc>
          <w:tcPr>
            <w:tcW w:type="dxa" w:w="922"/>
            <w:gridSpan w:val="2"/>
            <w:vMerge/>
          </w:tcPr>
          <w:p/>
        </w:tc>
        <w:tc>
          <w:tcPr>
            <w:tcW w:type="dxa" w:w="2307"/>
          </w:tcPr>
          <w:p>
            <w:pPr>
              <w:pStyle w:val="null3"/>
              <w:jc w:val="left"/>
            </w:pPr>
            <w:r>
              <w:rPr/>
              <w:t>卫生系统元数据扩展清单 (6.0分)</w:t>
            </w:r>
          </w:p>
        </w:tc>
        <w:tc>
          <w:tcPr>
            <w:tcW w:type="dxa" w:w="5076"/>
          </w:tcPr>
          <w:p>
            <w:pPr>
              <w:pStyle w:val="null3"/>
              <w:jc w:val="left"/>
            </w:pPr>
            <w:r>
              <w:rPr/>
              <w:t>投标人根据“第二章 采购需求”的“附表一”的“（三）其他方案要求”内容提供的卫生系统元数据扩展清单进行评审: 1.针对本项目提供的卫生系统元数据扩展清单完全满足且优于采购需求的，得6分； 2.针对本项目提供的卫生系统元数据扩展清单完全满足采购需求的，得3分； 3.针对本项目提供的卫生系统元数据扩展清单不能完全满足采购需求的，得1分； 4.不提供或其他情况，得0分。</w:t>
            </w:r>
          </w:p>
        </w:tc>
      </w:tr>
      <w:tr>
        <w:tc>
          <w:tcPr>
            <w:tcW w:type="dxa" w:w="922"/>
            <w:gridSpan w:val="2"/>
            <w:vMerge/>
          </w:tcPr>
          <w:p/>
        </w:tc>
        <w:tc>
          <w:tcPr>
            <w:tcW w:type="dxa" w:w="2307"/>
          </w:tcPr>
          <w:p>
            <w:pPr>
              <w:pStyle w:val="null3"/>
              <w:jc w:val="left"/>
            </w:pPr>
            <w:r>
              <w:rPr/>
              <w:t>本地算力调度与模型训练集成方案 (6.0分)</w:t>
            </w:r>
          </w:p>
        </w:tc>
        <w:tc>
          <w:tcPr>
            <w:tcW w:type="dxa" w:w="5076"/>
          </w:tcPr>
          <w:p>
            <w:pPr>
              <w:pStyle w:val="null3"/>
              <w:jc w:val="left"/>
            </w:pPr>
            <w:r>
              <w:rPr/>
              <w:t>投标人根据“第二章 采购需求”的“附表一”的“（三）其他方案要求”内容提供的本地算力调度与模型训练集成方案进行评审: 1.针对本项目提供的本地算力调度与模型训练集成方案完全满足且优于采购需求的，得6分； 2.针对本项目提供的本地算力调度与模型训练集成方案完全满足采购需求的，得3分； 3.针对本项目提供的本地算力调度与模型训练集成方案不能完全满足采购需求的，得1分； 4.不提供或其他情况，得0分。</w:t>
            </w:r>
          </w:p>
        </w:tc>
      </w:tr>
      <w:tr>
        <w:tc>
          <w:tcPr>
            <w:tcW w:type="dxa" w:w="922"/>
            <w:gridSpan w:val="2"/>
            <w:vMerge/>
          </w:tcPr>
          <w:p/>
        </w:tc>
        <w:tc>
          <w:tcPr>
            <w:tcW w:type="dxa" w:w="2307"/>
          </w:tcPr>
          <w:p>
            <w:pPr>
              <w:pStyle w:val="null3"/>
              <w:jc w:val="left"/>
            </w:pPr>
            <w:r>
              <w:rPr/>
              <w:t>本土化及自主化支持 (12.0分)</w:t>
            </w:r>
          </w:p>
        </w:tc>
        <w:tc>
          <w:tcPr>
            <w:tcW w:type="dxa" w:w="5076"/>
          </w:tcPr>
          <w:p>
            <w:pPr>
              <w:pStyle w:val="null3"/>
              <w:jc w:val="left"/>
            </w:pPr>
            <w:r>
              <w:rPr/>
              <w:t>1.本国芯片与服务器设备适配能力（6分）：本项根据投标人提交的视频演示内容进评分，演示使用本国编程语言在本国服务器平台（如鲲鹏、飞腾、龙芯、海光等）上的程序编译与运行效果，以验证投标人对本国软硬件的适配能力。评审标准如下： (1) 视频中清晰展示所使用的设备处理器型号及操作系统信息，确认运行环境为本国平台，得2分； (2) 使用本国编程语言编译示例代码，视频中展示编译完整过程，得2分； (3) 成功运行编译生成的程序，验证运行正常无报错，得2分。 本子项最高得6分。 2. 本国数据库兼容能力（6分） 本项根据投标人提交的视频演示内容进行评分。视频需展示使用本国编程语言与本国数据库的连接、数据操作过程，以验证对主流本国数据库的兼容与适配能力。评分标准如下： (1) 视频中展示系统成功连接至少一种主流本国数据库（如达梦、人大金仓、南大通用、GaussDB 等），并能够展示数据库版本信息，得2分； (2) 展示使用本国编程语言在本国数据库中执行常用操作（如数据插入、查询、更新等），并能正确返回预期结果，得2分； (3) 演示系统对本国数据库扩展特性（如事务处理、存储过程等）具备适配能力，运行无异常，得2分。 本子项最高得6分。 注：（1）评审仅依据投标人提交的视频演示材料进行打分，评标委员会将综合判断内容的完整性、真实性与演示效果。如未提供有效视频材料，或视频内容与要求不符，该项不得分。 （2）投标人需提供可播放U盘一份，内含视频播放软件和视频内容，每个投标人的演示时间不得超过10分钟，不留密码，无病毒，保证能正常播放，在开标当日递交投标文件截止时间前30分钟密封递交。须采用真实系统动态可运行时的视频进行演示。功能演示系统的视频文件格式为：rmvb或avi或mp4，不得采用PPT、图片、静态页面等演示方式。（3）提交演示视频地点：佛山市南海区桂城街道夏南路58号方舟一号建筑产业中心大楼二楼。</w:t>
            </w:r>
          </w:p>
        </w:tc>
      </w:tr>
      <w:tr>
        <w:tc>
          <w:tcPr>
            <w:tcW w:type="dxa" w:w="922"/>
            <w:gridSpan w:val="2"/>
            <w:vMerge/>
          </w:tcPr>
          <w:p/>
        </w:tc>
        <w:tc>
          <w:tcPr>
            <w:tcW w:type="dxa" w:w="2307"/>
          </w:tcPr>
          <w:p>
            <w:pPr>
              <w:pStyle w:val="null3"/>
              <w:jc w:val="left"/>
            </w:pPr>
            <w:r>
              <w:rPr/>
              <w:t>售后服务与运维方案 (6.0分)</w:t>
            </w:r>
          </w:p>
        </w:tc>
        <w:tc>
          <w:tcPr>
            <w:tcW w:type="dxa" w:w="5076"/>
          </w:tcPr>
          <w:p>
            <w:pPr>
              <w:pStyle w:val="null3"/>
              <w:jc w:val="left"/>
            </w:pPr>
            <w:r>
              <w:rPr/>
              <w:t>投标人根据“第二章 采购需求”的“附表一”的“（三）其他方案要求”内容提供的售后服务与运维方案进行评审： 1.针对本项目提供的售后服务与运维方案完全满足且优于采购需求的，得6分； 2.针对本项目提供的售后服务与运维方案完全满足采购需求的，得3分； 3.针对本项目提供的售后服务与运维方案不能完全满足采购需求的，得1分； 4.不提供或其他情况，得0分。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同类项目业绩与数据运维能力 (4.0分)</w:t>
            </w:r>
          </w:p>
        </w:tc>
        <w:tc>
          <w:tcPr>
            <w:tcW w:type="dxa" w:w="5076"/>
          </w:tcPr>
          <w:p>
            <w:pPr>
              <w:pStyle w:val="null3"/>
              <w:jc w:val="left"/>
            </w:pPr>
            <w:r>
              <w:rPr/>
              <w:t>提供2022年1月1日至今（以合同签订时间为准），以投标人名义独立承接的相关项目经验及信息系统数据运维能力进行综合评审： 1.同类项目业绩（2分）： 根据投标人提供的同类项目（数据湖开发或人工智能平台建设项目）业绩进行评分，每提供一项得1分，最高得2分。 2.数据运维经验（2分）： 投标人具备年数据增长达到TB级以上的自营或代运营系统项目的数据运维经验，提供相关证明材料的，得2分。 注：同类项目业绩需提供合同关键页（含签订合同双方的单位名称、合同项目名称与签订合同双方的落款盖章、签订日期等的关键页）复印件并加盖投标人公章作为证明材料，不提供的不得分。数据运维经验证明材料需包含投标人运营项目的基本信息、项目与投标人关联的证明材料、项目数据规模证明材料，代运营项目则需额外提供代运营合同复印件，以上资料需加盖投标人公章，不提供或提供不全的不得分。</w:t>
            </w:r>
          </w:p>
        </w:tc>
      </w:tr>
      <w:tr>
        <w:tc>
          <w:tcPr>
            <w:tcW w:type="dxa" w:w="922"/>
            <w:gridSpan w:val="2"/>
            <w:vMerge/>
          </w:tcPr>
          <w:p/>
        </w:tc>
        <w:tc>
          <w:tcPr>
            <w:tcW w:type="dxa" w:w="2307"/>
          </w:tcPr>
          <w:p>
            <w:pPr>
              <w:pStyle w:val="null3"/>
              <w:jc w:val="left"/>
            </w:pPr>
            <w:r>
              <w:rPr/>
              <w:t>人员资质 (7.0分)</w:t>
            </w:r>
          </w:p>
        </w:tc>
        <w:tc>
          <w:tcPr>
            <w:tcW w:type="dxa" w:w="5076"/>
          </w:tcPr>
          <w:p>
            <w:pPr>
              <w:pStyle w:val="null3"/>
              <w:jc w:val="left"/>
            </w:pPr>
            <w:r>
              <w:rPr/>
              <w:t>1.拟投入的项目负责人： （1）具有5年或以上信息化项目管理工作经验，得1分； （2）具有信息系统项目管理师证书(人社部颁发或人社部与工信部颁发)，得1分； 本小项最高得2分。 2.拟投入的技术负责人： （1）具有5年或以上信息系统项目实施管理工作经验，得1分； （2）具有信息系统项目管理师证书(人社部颁发或人社部与工信部颁发)或ITSS IT服务项目经理(中国电子技术标准化研究院颁发)，得1分； 本小项最高得2分。 3.拟投入的项目核心技术人员（3人）： （1）具有3年或以上信息系统项目开发工作经验，得0.5分/人； （2）具有网络信息安全工程师(工业和信息化部教育与考试中心颁发)、系统分析师（人社部颁发或人社部与工信部颁发）、系统架构设计师（人社部颁发或人社部与工信部颁发）、软件设计师（人社部颁发或人社部与工信部颁发）信息化相关专业证书之一，得0.5分/证；最多计3人；同一人具备多个证书，可重复计分。本小项最高得3分。 本项最高得7分。 注：1）需提交上述人员在投标截止时间前6个月内任意一个月购买社保的证明文件复印件，不提供或资料提供不齐全或不清晰的不得分。 2）提供上述人员的相关证书证明材料扫描件等。 3）相关工作经验提供由投标人出具的声明文件（声明内容应包含该人员从事对应工作内容的起止时间及所负责的工作内容）。</w:t>
            </w:r>
          </w:p>
        </w:tc>
      </w:tr>
      <w:tr>
        <w:tc>
          <w:tcPr>
            <w:tcW w:type="dxa" w:w="922"/>
            <w:gridSpan w:val="2"/>
            <w:vMerge/>
          </w:tcPr>
          <w:p/>
        </w:tc>
        <w:tc>
          <w:tcPr>
            <w:tcW w:type="dxa" w:w="2307"/>
          </w:tcPr>
          <w:p>
            <w:pPr>
              <w:pStyle w:val="null3"/>
              <w:jc w:val="left"/>
            </w:pPr>
            <w:r>
              <w:rPr/>
              <w:t>综合实力 (3.0分)</w:t>
            </w:r>
          </w:p>
        </w:tc>
        <w:tc>
          <w:tcPr>
            <w:tcW w:type="dxa" w:w="5076"/>
          </w:tcPr>
          <w:p>
            <w:pPr>
              <w:pStyle w:val="null3"/>
              <w:jc w:val="left"/>
            </w:pPr>
            <w:r>
              <w:rPr/>
              <w:t>根据投标人在质量管理、服务能力、安全保障方面的认证情况进行综合评审：投标人具有信息技术服务管理体系认证、信息安全管理体系认证每项得1.5分，最高得3分。 注：（1）须提供有效期内的认证证书复印件/扫描件并加盖投标人公章，不提供不得分。 （2）如投标人成立时间不足3个月（时间以投标人营业执照上的成立/注册日期至响应截止当天计算）导致未能获得认证证书的，提供声明函(格式自拟)，视为满足该项评分。不提供不得分。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0"/>
          <w:b/>
        </w:rPr>
        <w:t>佛山市政府采购项目</w:t>
      </w:r>
    </w:p>
    <w:p>
      <w:pPr>
        <w:pStyle w:val="null3"/>
        <w:jc w:val="center"/>
      </w:pPr>
      <w:r>
        <w:rPr>
          <w:sz w:val="60"/>
          <w:b/>
        </w:rPr>
        <w:t>合同书</w:t>
      </w:r>
    </w:p>
    <w:p>
      <w:pPr>
        <w:pStyle w:val="null3"/>
        <w:ind w:firstLine="480"/>
        <w:jc w:val="center"/>
      </w:pPr>
      <w:r>
        <w:rPr/>
        <w:t xml:space="preserve"> </w:t>
      </w:r>
    </w:p>
    <w:p>
      <w:pPr>
        <w:pStyle w:val="null3"/>
        <w:ind w:firstLine="480"/>
        <w:jc w:val="center"/>
      </w:pPr>
      <w:r>
        <w:rPr/>
        <w:t xml:space="preserve"> </w:t>
      </w:r>
    </w:p>
    <w:p>
      <w:pPr>
        <w:pStyle w:val="null3"/>
        <w:ind w:firstLine="2409"/>
        <w:jc w:val="both"/>
      </w:pPr>
      <w:r>
        <w:rPr>
          <w:sz w:val="24"/>
          <w:b/>
        </w:rPr>
        <w:t>项目编号：</w:t>
      </w:r>
    </w:p>
    <w:p>
      <w:pPr>
        <w:pStyle w:val="null3"/>
        <w:ind w:firstLine="2409"/>
        <w:jc w:val="both"/>
      </w:pPr>
      <w:r>
        <w:rPr>
          <w:sz w:val="24"/>
          <w:b/>
        </w:rPr>
        <w:t>项目名称：</w:t>
      </w:r>
    </w:p>
    <w:p>
      <w:pPr>
        <w:pStyle w:val="null3"/>
        <w:jc w:val="both"/>
      </w:pPr>
      <w:r>
        <w:rPr/>
        <w:t xml:space="preserve"> </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236"/>
        <w:gridCol w:w="6068"/>
      </w:tblGrid>
      <w:tr>
        <w:tc>
          <w:tcPr>
            <w:tcW w:type="dxa" w:w="2236"/>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rPr>
              <w:t>甲方：</w:t>
            </w:r>
          </w:p>
        </w:tc>
        <w:tc>
          <w:tcPr>
            <w:tcW w:type="dxa" w:w="606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u w:val="single"/>
              </w:rPr>
              <w:t>采购人名称</w:t>
            </w:r>
          </w:p>
        </w:tc>
      </w:tr>
      <w:tr>
        <w:tc>
          <w:tcPr>
            <w:tcW w:type="dxa" w:w="2236"/>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rPr>
              <w:t>乙方：</w:t>
            </w:r>
          </w:p>
        </w:tc>
        <w:tc>
          <w:tcPr>
            <w:tcW w:type="dxa" w:w="606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u w:val="single"/>
              </w:rPr>
              <w:t>（中标</w:t>
            </w:r>
            <w:r>
              <w:rPr>
                <w:sz w:val="24"/>
                <w:u w:val="single"/>
              </w:rPr>
              <w:t>/成交供应商名称）</w:t>
            </w:r>
          </w:p>
        </w:tc>
      </w:tr>
      <w:tr>
        <w:tc>
          <w:tcPr>
            <w:tcW w:type="dxa" w:w="2236"/>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rPr>
              <w:t>签订日期：</w:t>
            </w:r>
          </w:p>
        </w:tc>
        <w:tc>
          <w:tcPr>
            <w:tcW w:type="dxa" w:w="606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u w:val="single"/>
              </w:rPr>
              <w:t>年月日</w:t>
            </w:r>
          </w:p>
        </w:tc>
      </w:tr>
      <w:tr>
        <w:tc>
          <w:tcPr>
            <w:tcW w:type="dxa" w:w="2236"/>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rPr>
              <w:t xml:space="preserve"> </w:t>
            </w:r>
            <w:r>
              <w:rPr>
                <w:sz w:val="24"/>
              </w:rPr>
              <w:t>合同性质：</w:t>
            </w:r>
          </w:p>
        </w:tc>
        <w:tc>
          <w:tcPr>
            <w:tcW w:type="dxa" w:w="606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rPr>
              <w:t>本合同为中小企业预留合同</w:t>
            </w:r>
          </w:p>
        </w:tc>
      </w:tr>
    </w:tbl>
    <w:p>
      <w:pPr>
        <w:pStyle w:val="null3"/>
        <w:jc w:val="both"/>
      </w:pPr>
      <w:r>
        <w:rPr>
          <w:sz w:val="24"/>
        </w:rPr>
        <w:t>根据《中华人民共和国政府采购法》《中华人民共和国民法典》和本项目采购文件的要求，经双方协商，本着平等互利和诚实信用的原则，一致同意签订本合同如下。</w:t>
      </w:r>
      <w:r>
        <w:rPr/>
        <w:t xml:space="preserve"> </w:t>
      </w:r>
    </w:p>
    <w:p>
      <w:pPr>
        <w:pStyle w:val="null3"/>
        <w:ind w:firstLine="482"/>
        <w:jc w:val="both"/>
      </w:pPr>
      <w:r>
        <w:rPr>
          <w:sz w:val="24"/>
          <w:b/>
        </w:rPr>
        <w:t>一、项目主要内容及实现功能目标：</w:t>
      </w:r>
    </w:p>
    <w:p>
      <w:pPr>
        <w:pStyle w:val="null3"/>
        <w:jc w:val="both"/>
      </w:pPr>
      <w:r>
        <w:rPr>
          <w:sz w:val="24"/>
          <w:b/>
        </w:rPr>
        <w:t>（一）项目概况</w:t>
      </w:r>
    </w:p>
    <w:p>
      <w:pPr>
        <w:pStyle w:val="null3"/>
        <w:jc w:val="both"/>
      </w:pPr>
      <w:r>
        <w:rPr>
          <w:sz w:val="24"/>
          <w:b/>
        </w:rPr>
        <w:t>1.1 项目介绍</w:t>
      </w:r>
    </w:p>
    <w:p>
      <w:pPr>
        <w:pStyle w:val="null3"/>
        <w:ind w:firstLine="420"/>
        <w:jc w:val="left"/>
      </w:pPr>
      <w:r>
        <w:rPr>
          <w:sz w:val="24"/>
        </w:rPr>
        <w:t>佛山市南海区第五、第六、第七人民医院目前已整合发展为佛山大学附属第三医院，本项目旨在建设一套先进的数据运维与管控平台，涵盖多院区、多系统的统一数据存储、管理和分析的软件层基础设施。平台将采用全栈本土化及自主化技术和本国编程语言开发，并全面支持本国芯片、本国服务器等硬件设备，确保技术体系自主可控。核心功能包括分布式磁盘管理、目录与标签管理、元数据管理和数据检索，同时支持大规模数据管理与智能处理、实时分析、数据集管理和预训练模型管理。通过统一的数据技术架构，平台可实现各业务系统的数据汇聚和共享，避免多院区、多系统重复建设。</w:t>
      </w:r>
    </w:p>
    <w:p>
      <w:pPr>
        <w:pStyle w:val="null3"/>
        <w:jc w:val="both"/>
      </w:pPr>
      <w:r>
        <w:rPr>
          <w:sz w:val="24"/>
          <w:b/>
        </w:rPr>
        <w:t>1.2 项目建设目标</w:t>
      </w:r>
    </w:p>
    <w:p>
      <w:pPr>
        <w:pStyle w:val="null3"/>
        <w:ind w:firstLine="420"/>
        <w:jc w:val="both"/>
      </w:pPr>
      <w:r>
        <w:rPr>
          <w:sz w:val="24"/>
        </w:rPr>
        <w:t>(1)开发统一的数据运维与管控平台：平台将集中管理医院各院区和不同系统间的数据，通过统一的技术架构提供数据存储、处理与分析的能力，确保数据流通和共享的高效性。该平台将作为中间层软件系统，为医院的其他业务系统提供数据支撑与服务，减少多院区、多系统运营过程中的存储设施重复建设。</w:t>
      </w:r>
    </w:p>
    <w:p>
      <w:pPr>
        <w:pStyle w:val="null3"/>
        <w:ind w:firstLine="420"/>
        <w:jc w:val="both"/>
      </w:pPr>
      <w:r>
        <w:rPr>
          <w:sz w:val="24"/>
        </w:rPr>
        <w:t>(2)支持全栈本土化及自主化技术与硬件：平台采用全栈本国技术和本国编程语言进行平台开发，确保技术自主可控，并全面适配本国服务器、本国芯片等硬件设施，构建自主可控的架构体系，支撑医院信息化的可持续发展。</w:t>
      </w:r>
    </w:p>
    <w:p>
      <w:pPr>
        <w:pStyle w:val="null3"/>
        <w:ind w:firstLine="420"/>
        <w:jc w:val="both"/>
      </w:pPr>
      <w:r>
        <w:rPr>
          <w:sz w:val="24"/>
        </w:rPr>
        <w:t>(3)动态扩容与高效存取：平台具备大规模数据管理和智能处理能力，支持横向扩展以应对数据快速增长。通过分布式存储和元数据索引等技术，保证数据存储与访问的高效性。</w:t>
      </w:r>
    </w:p>
    <w:p>
      <w:pPr>
        <w:pStyle w:val="null3"/>
        <w:ind w:firstLine="420"/>
        <w:jc w:val="both"/>
      </w:pPr>
      <w:r>
        <w:rPr>
          <w:sz w:val="24"/>
        </w:rPr>
        <w:t>(4)高效数据存储与检索：利用高效存储管理与快速搜索功能，实现海量医疗数据的快速读写和分析。平台将为临床医生、科研人员和管理者提供精准的多维数据检索和实时分析能力，提升决策支持和科研效率。</w:t>
      </w:r>
    </w:p>
    <w:p>
      <w:pPr>
        <w:pStyle w:val="null3"/>
        <w:ind w:firstLine="420"/>
        <w:jc w:val="both"/>
      </w:pPr>
      <w:r>
        <w:rPr>
          <w:sz w:val="24"/>
        </w:rPr>
        <w:t>(5)医学研究与医疗模型训练支撑：平台将为医院的医学研究、临床应用和医疗模型训练提供强有力的技术支撑。通过平台的数据集管理与预训练模型管理功能，医院将能够加速医疗领域的AI模型开发与优化，如疾病预测、影像识别等。平台将助力医院在医学研究、临床决策支持及医疗模型训练等领域的发展。</w:t>
      </w:r>
    </w:p>
    <w:p>
      <w:pPr>
        <w:pStyle w:val="null3"/>
        <w:ind w:firstLine="420"/>
        <w:jc w:val="both"/>
      </w:pPr>
      <w:r>
        <w:rPr>
          <w:sz w:val="24"/>
        </w:rPr>
        <w:t>(6)提供数据治理API层支持：平台将提供标准化的数据治理API接口，实现跨系统数据共享和集成。API层支持统一的数据访问、安全审计和治理功能，为未来智慧医疗应用提供稳定的数据基础。平台目标是建立完备的数据治理能力，确保数据的合规使用和高效流通。</w:t>
      </w:r>
    </w:p>
    <w:p>
      <w:pPr>
        <w:pStyle w:val="null3"/>
        <w:jc w:val="both"/>
      </w:pPr>
      <w:r>
        <w:rPr>
          <w:sz w:val="24"/>
          <w:b/>
        </w:rPr>
        <w:t>1.3 项目要求</w:t>
      </w:r>
    </w:p>
    <w:p>
      <w:pPr>
        <w:pStyle w:val="null3"/>
        <w:ind w:firstLine="420"/>
        <w:jc w:val="both"/>
      </w:pPr>
      <w:r>
        <w:rPr>
          <w:sz w:val="24"/>
        </w:rPr>
        <w:t>(1)技术架构设计与平台规划：负责设计平台整体架构，保证高可扩展性和可维护性，支持未来功能扩展和优化。架构设计必须基于本土化及自主化技术栈，确保与现有医院软硬件兼容，为后续开发和部署奠定坚实基础。</w:t>
      </w:r>
    </w:p>
    <w:p>
      <w:pPr>
        <w:pStyle w:val="null3"/>
        <w:ind w:firstLine="420"/>
        <w:jc w:val="both"/>
      </w:pPr>
      <w:r>
        <w:rPr>
          <w:sz w:val="24"/>
        </w:rPr>
        <w:t>(2)软件必须基于本国编程语言开发，能够与医院现有软硬件环境兼容的同时，全面支持本国硬件（如本国芯片、本国服务器等），确保平台在本国环境下的稳定运行。</w:t>
      </w:r>
    </w:p>
    <w:p>
      <w:pPr>
        <w:pStyle w:val="null3"/>
        <w:ind w:firstLine="420"/>
        <w:jc w:val="both"/>
      </w:pPr>
      <w:r>
        <w:rPr>
          <w:sz w:val="24"/>
        </w:rPr>
        <w:t>(3)功能部署与实施：在医院生产环境部署并集成所有功能模块，包含系统安装、配置和集成测试，并完成最终验收。确保系统按时上线、稳定运行，满足医院日常业务需求。</w:t>
      </w:r>
    </w:p>
    <w:p>
      <w:pPr>
        <w:pStyle w:val="null3"/>
        <w:ind w:firstLine="420"/>
        <w:jc w:val="both"/>
      </w:pPr>
      <w:r>
        <w:rPr>
          <w:sz w:val="24"/>
        </w:rPr>
        <w:t>(4)系统性能测试与优化：进行负载、压力和并发测试，评估平台在高负载、大并发场景下的性能，根据测试结果提供优化方案，确保平台能够高效处理海量数据请求。</w:t>
      </w:r>
    </w:p>
    <w:p>
      <w:pPr>
        <w:pStyle w:val="null3"/>
        <w:ind w:firstLine="420"/>
        <w:jc w:val="both"/>
      </w:pPr>
      <w:r>
        <w:rPr>
          <w:sz w:val="24"/>
        </w:rPr>
        <w:t>(5)技术支持与维护服务：提供项目验收后12个月的运维支持，包括定期检查、版本升级、故障排除和技术咨询等。确保平台在运营期间持续稳定，及时响应并解决系统运行中出现的问题。</w:t>
      </w:r>
    </w:p>
    <w:p>
      <w:pPr>
        <w:pStyle w:val="null3"/>
        <w:ind w:firstLine="420"/>
        <w:jc w:val="both"/>
      </w:pPr>
      <w:r>
        <w:rPr>
          <w:sz w:val="24"/>
        </w:rPr>
        <w:t>(6)技术转移与人员转移：项目完成后，服务方应将技术成果与知识传递给医院技术团队，包括完整的源代码、设计文档和架构说明，使医院能够独立进行后续开发、维护和优化。同时，技术服务方应支持项目的关键工程师的劳动关系转移，协助医院聘用相关技术人员，进行后续的技术支持与系统优化。</w:t>
      </w:r>
    </w:p>
    <w:p>
      <w:pPr>
        <w:pStyle w:val="null3"/>
      </w:pPr>
      <w:r>
        <w:rPr>
          <w:sz w:val="24"/>
          <w:b/>
        </w:rPr>
        <w:t>1.4项目组织与人员要求</w:t>
      </w:r>
    </w:p>
    <w:p>
      <w:pPr>
        <w:pStyle w:val="null3"/>
      </w:pPr>
      <w:r>
        <w:rPr>
          <w:sz w:val="24"/>
        </w:rPr>
        <w:t>（</w:t>
      </w:r>
      <w:r>
        <w:rPr>
          <w:sz w:val="24"/>
        </w:rPr>
        <w:t>1）乙方需针对此项目组织专门项目团队，指定一名专职的项目负责人，负责项目过程管理、各项资源协调和调度等工作。本项目为行业应用软件开发服务类项目，项目负责人应具有计算机类或管理类相关专业硕士及以上学历，需统筹技术研发、部署实施、质量交付、协同协调等多维管理任务，同时需具备信息系统项目管理能力、IT服务项目管理、网络信息安全管理等能力，以提升管理与服务体系建设水平。</w:t>
      </w:r>
    </w:p>
    <w:p>
      <w:pPr>
        <w:pStyle w:val="null3"/>
      </w:pPr>
      <w:r>
        <w:rPr>
          <w:sz w:val="24"/>
        </w:rPr>
        <w:t>（</w:t>
      </w:r>
      <w:r>
        <w:rPr>
          <w:sz w:val="24"/>
        </w:rPr>
        <w:t>2）乙方在项目实施期内，须安排技术负责人及</w:t>
      </w:r>
      <w:r>
        <w:rPr/>
        <w:t xml:space="preserve">   </w:t>
      </w:r>
      <w:r>
        <w:rPr>
          <w:sz w:val="24"/>
        </w:rPr>
        <w:t>名项目核心技术人员按甲方要求提供现场服务，负责项目现场的沟通、实施、推进、问题处理等协调工作。技术负责人应具有计算机相关专业本科及以上学历，需具备信息系统项目管理能力，技术负责人及项目核心技术人员需具备网络信息安全保障、系统分析、系统集成项目管理、系统架构设计、软件设计、</w:t>
      </w:r>
      <w:r>
        <w:rPr>
          <w:sz w:val="24"/>
        </w:rPr>
        <w:t>IT服务项目管理等能力。</w:t>
      </w:r>
    </w:p>
    <w:p>
      <w:pPr>
        <w:pStyle w:val="null3"/>
        <w:ind w:firstLine="420"/>
      </w:pPr>
      <w:r>
        <w:rPr>
          <w:sz w:val="24"/>
        </w:rPr>
        <w:t>（</w:t>
      </w:r>
      <w:r>
        <w:rPr>
          <w:sz w:val="24"/>
        </w:rPr>
        <w:t>3）项目团队人员不可兼任，必须按照投标文件中的拟投入人员的人数</w:t>
      </w:r>
      <w:r>
        <w:rPr>
          <w:sz w:val="24"/>
        </w:rPr>
        <w:t>结合</w:t>
      </w:r>
      <w:r>
        <w:rPr>
          <w:sz w:val="24"/>
        </w:rPr>
        <w:t>甲方</w:t>
      </w:r>
      <w:r>
        <w:rPr>
          <w:sz w:val="24"/>
        </w:rPr>
        <w:t>和项目</w:t>
      </w:r>
      <w:r>
        <w:rPr>
          <w:sz w:val="24"/>
        </w:rPr>
        <w:t>实际需求进行驻场</w:t>
      </w:r>
      <w:r>
        <w:rPr>
          <w:sz w:val="24"/>
        </w:rPr>
        <w:t>投入项目的实施，项目团队应具备投标文件中对应资质，如因成员能力不足，导致项目实施延期或不能达到本项目的要求，乙方应</w:t>
      </w:r>
      <w:r>
        <w:rPr>
          <w:sz w:val="24"/>
        </w:rPr>
        <w:t>自</w:t>
      </w:r>
      <w:r>
        <w:rPr>
          <w:sz w:val="24"/>
        </w:rPr>
        <w:t>违约之日起每日按合同总额的</w:t>
      </w:r>
      <w:r>
        <w:rPr>
          <w:sz w:val="24"/>
        </w:rPr>
        <w:t>3‰比例向</w:t>
      </w:r>
      <w:r>
        <w:rPr>
          <w:sz w:val="24"/>
        </w:rPr>
        <w:t>甲方</w:t>
      </w:r>
      <w:r>
        <w:rPr>
          <w:sz w:val="24"/>
        </w:rPr>
        <w:t>支付违约金；</w:t>
      </w:r>
      <w:r>
        <w:rPr>
          <w:sz w:val="24"/>
        </w:rPr>
        <w:t>项目延期或不能达到本项目的要求</w:t>
      </w:r>
      <w:r>
        <w:rPr>
          <w:sz w:val="24"/>
        </w:rPr>
        <w:t>超过</w:t>
      </w:r>
      <w:r>
        <w:rPr>
          <w:sz w:val="24"/>
        </w:rPr>
        <w:t>15日以上时，</w:t>
      </w:r>
      <w:r>
        <w:rPr>
          <w:sz w:val="24"/>
        </w:rPr>
        <w:t>甲方</w:t>
      </w:r>
      <w:r>
        <w:rPr>
          <w:sz w:val="24"/>
        </w:rPr>
        <w:t>有权终止合同，由此造成</w:t>
      </w:r>
      <w:r>
        <w:rPr>
          <w:sz w:val="24"/>
        </w:rPr>
        <w:t>甲方</w:t>
      </w:r>
      <w:r>
        <w:rPr>
          <w:sz w:val="24"/>
        </w:rPr>
        <w:t>的经济损失由</w:t>
      </w:r>
      <w:r>
        <w:rPr>
          <w:sz w:val="24"/>
        </w:rPr>
        <w:t>乙方</w:t>
      </w:r>
      <w:r>
        <w:rPr>
          <w:sz w:val="24"/>
        </w:rPr>
        <w:t>承担</w:t>
      </w:r>
      <w:r>
        <w:rPr>
          <w:sz w:val="24"/>
        </w:rPr>
        <w:t>。</w:t>
      </w:r>
    </w:p>
    <w:p>
      <w:pPr>
        <w:pStyle w:val="null3"/>
        <w:ind w:firstLine="420"/>
      </w:pPr>
      <w:r>
        <w:rPr>
          <w:sz w:val="24"/>
        </w:rPr>
        <w:t>（</w:t>
      </w:r>
      <w:r>
        <w:rPr>
          <w:sz w:val="24"/>
        </w:rPr>
        <w:t>4）</w:t>
      </w:r>
      <w:r>
        <w:rPr>
          <w:sz w:val="24"/>
        </w:rPr>
        <w:t>未经甲方书面同意，投标文件中的项目负责人和项目团队人员不得随意更换，如出现未经甲方同意随意更换人员的情况，视为乙方违约，乙方应自违约之日起每日按合同总额的</w:t>
      </w:r>
      <w:r>
        <w:rPr>
          <w:sz w:val="24"/>
        </w:rPr>
        <w:t>3‰比例向甲方支付违约金，超过15日以上时，甲方有权终止合同，由此造成甲方的经济损失由乙方承担。</w:t>
      </w:r>
    </w:p>
    <w:p>
      <w:pPr>
        <w:pStyle w:val="null3"/>
        <w:ind w:firstLine="420"/>
      </w:pPr>
      <w:r>
        <w:rPr>
          <w:sz w:val="24"/>
        </w:rPr>
        <w:t>（</w:t>
      </w:r>
      <w:r>
        <w:rPr>
          <w:sz w:val="24"/>
        </w:rPr>
        <w:t>5）甲方有权以书面形式要求乙方更换不能胜任合同履行工作的项目人员。即使是甲方要求或同意更换的人员，其代替人员的资历仍应得到甲方的认可，且其资历和经验均不低于被更换人员。由此而产生的费用由乙方承担。</w:t>
      </w:r>
    </w:p>
    <w:p>
      <w:pPr>
        <w:pStyle w:val="null3"/>
        <w:jc w:val="both"/>
      </w:pPr>
      <w:r>
        <w:rPr>
          <w:sz w:val="24"/>
        </w:rPr>
        <w:t>（</w:t>
      </w:r>
      <w:r>
        <w:rPr>
          <w:sz w:val="24"/>
        </w:rPr>
        <w:t>6）在服务期间内，乙方必须按照有关规定，对本项目所有工作服务人员缴纳各种社会保险。如服务期内乙方与员工发生劳动纠纷，由乙方自行承担全部责任；乙方的服务人员直接或间接的工作失误导致发生的事故(包括但不限于意外、工伤医疗事故等)，一切责任由乙方负责。</w:t>
      </w:r>
    </w:p>
    <w:p>
      <w:pPr>
        <w:pStyle w:val="null3"/>
        <w:jc w:val="both"/>
      </w:pPr>
      <w:r>
        <w:rPr>
          <w:sz w:val="24"/>
          <w:b/>
        </w:rPr>
        <w:t>（二）采购清单及要求</w:t>
      </w:r>
    </w:p>
    <w:p>
      <w:pPr>
        <w:pStyle w:val="null3"/>
        <w:jc w:val="both"/>
      </w:pPr>
      <w:r>
        <w:rPr>
          <w:sz w:val="24"/>
        </w:rPr>
        <w:t>1.具体采购清单及要求如下：</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613"/>
        <w:gridCol w:w="2040"/>
        <w:gridCol w:w="4652"/>
      </w:tblGrid>
      <w:tr>
        <w:tc>
          <w:tcPr>
            <w:tcW w:type="dxa" w:w="830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数据湖基础设施层</w:t>
            </w:r>
          </w:p>
        </w:tc>
      </w:tr>
      <w:tr>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一级功能模块</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二级功能模块</w:t>
            </w:r>
          </w:p>
        </w:tc>
        <w:tc>
          <w:tcPr>
            <w:tcW w:type="dxa" w:w="4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功能描述</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存储模块</w:t>
            </w: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磁盘分区与格式化</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磁盘健康监控与日志管理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数据分布与冗余管理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存储池管理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数据访问与控制</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存储权限管理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API访问管理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数据备份与恢复</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定期自动备份</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快速数据恢复</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数据加密与安全</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国密支持</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数据存储加密</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存储监控与报告</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存储性能监控</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存储资源使用监控</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存储操作日志</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系统管理模块</w:t>
            </w: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应用注册</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应用生命周期管理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授权配置</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应用授权审计</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用户创建</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用户账户管理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角色定义</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权限配置</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权限与角色管理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权限定义与管理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权限继承与权限策略</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资源管理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资源隔离与管理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临时授权与访问控制</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持久性授权与控制</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应用接口管理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API密钥生成与管理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API访问审计</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系统日志与审计</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系统行为记录</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审计查询</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目录模块</w:t>
            </w: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目录创建</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目录信息修改与删除</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目录生命周期管理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内容上传</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内容关联与存储</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目录访问与权限</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目录访问权限配置</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临时与长期授权</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w:t>
            </w:r>
            <w:r>
              <w:rPr>
                <w:sz w:val="24"/>
              </w:rPr>
              <w:t>API管理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API访问与权限管理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API日志审计</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目录监控与报告</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目录操作日志</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目录存储与访问监控</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标签管理</w:t>
            </w: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标签创建</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标签分类与层级管理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标签与数据关联</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标签更新与删除</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标签全局管理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全局标签库管理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标签共享与使用统计</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标签权限管理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标签访问权限配置</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w:t>
            </w:r>
            <w:r>
              <w:rPr>
                <w:sz w:val="24"/>
              </w:rPr>
              <w:t>API管理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w:t>
            </w:r>
            <w:r>
              <w:rPr>
                <w:sz w:val="24"/>
              </w:rPr>
              <w:t>API访问与操作</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w:t>
            </w:r>
            <w:r>
              <w:rPr>
                <w:sz w:val="24"/>
              </w:rPr>
              <w:t>API日志审计</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元数据管理</w:t>
            </w: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标准计算机文件元数据定义</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自定义元数据定义</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元数据分类与层级管理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元数据批量导入与导出</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元数据查询与访问</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高效查询</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元数据索引</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元数据安全与审计</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访问权限管理</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审计与日志记录</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数据利用服务</w:t>
            </w: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数据搜索</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多维度搜索</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支持复杂查询</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统计与看板</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数据汇总统计</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数据趋势分析</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数据可视化看板</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API接口</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数据搜索</w:t>
            </w:r>
            <w:r>
              <w:rPr>
                <w:sz w:val="24"/>
              </w:rPr>
              <w:t>API</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统计与看板</w:t>
            </w:r>
            <w:r>
              <w:rPr>
                <w:sz w:val="24"/>
              </w:rPr>
              <w:t>API</w:t>
            </w:r>
          </w:p>
        </w:tc>
      </w:tr>
      <w:tr>
        <w:tc>
          <w:tcPr>
            <w:tcW w:type="dxa" w:w="1613"/>
            <w:vMerge/>
            <w:tcBorders>
              <w:top w:val="none" w:color="000000" w:sz="4"/>
              <w:left w:val="single" w:color="000000" w:sz="4"/>
              <w:bottom w:val="single" w:color="000000" w:sz="4"/>
              <w:right w:val="single" w:color="000000" w:sz="4"/>
            </w:tcBorders>
          </w:tcPr>
          <w:p/>
        </w:tc>
        <w:tc>
          <w:tcPr>
            <w:tcW w:type="dxa" w:w="20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缓存与优化</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数据缓存加速</w:t>
            </w:r>
          </w:p>
        </w:tc>
      </w:tr>
      <w:tr>
        <w:tc>
          <w:tcPr>
            <w:tcW w:type="dxa" w:w="1613"/>
            <w:vMerge/>
            <w:tcBorders>
              <w:top w:val="none" w:color="000000" w:sz="4"/>
              <w:left w:val="single" w:color="000000" w:sz="4"/>
              <w:bottom w:val="single" w:color="000000" w:sz="4"/>
              <w:right w:val="single" w:color="000000" w:sz="4"/>
            </w:tcBorders>
          </w:tcPr>
          <w:p/>
        </w:tc>
        <w:tc>
          <w:tcPr>
            <w:tcW w:type="dxa" w:w="2040"/>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缓存更新策略</w:t>
            </w:r>
          </w:p>
        </w:tc>
      </w:tr>
      <w:tr>
        <w:tc>
          <w:tcPr>
            <w:tcW w:type="dxa" w:w="83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数据运维应用层</w:t>
            </w:r>
          </w:p>
        </w:tc>
      </w:tr>
      <w:tr>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一级功能模块</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二级功能模块</w:t>
            </w:r>
          </w:p>
        </w:tc>
        <w:tc>
          <w:tcPr>
            <w:tcW w:type="dxa" w:w="4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功能描述</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数据访问与接口管理</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数据写入与查询</w:t>
            </w:r>
            <w:r>
              <w:rPr>
                <w:sz w:val="24"/>
              </w:rPr>
              <w:t>API</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1、数据写入：支持应用通过API将数据提交到数据平台，包括文件上传、数据记录保存等。上传的数据应根据数据类型和存储策略进行存储，支持多种文件格式。</w:t>
            </w:r>
            <w:r>
              <w:br/>
            </w:r>
            <w:r>
              <w:rPr>
                <w:sz w:val="24"/>
              </w:rPr>
              <w:t>2、数据查询：提供基于多维度的查询功能，包括时间范围、标签、目录、元数据等多种条件组合的查询。支持分页查询和数据筛选。</w:t>
            </w:r>
            <w:r>
              <w:br/>
            </w:r>
            <w:r>
              <w:rPr>
                <w:sz w:val="24"/>
              </w:rPr>
              <w:t>3、数据更新：允许通过API更新已存储的数据，支持数据修改、替换等操作。</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权限控制与访问管理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1、权限定义：管理员可以为不同角色和用户定义数据访问权限，确保每个用户只能访问自己有权限的数据。</w:t>
            </w:r>
            <w:r>
              <w:br/>
            </w:r>
            <w:r>
              <w:rPr>
                <w:sz w:val="24"/>
              </w:rPr>
              <w:t>2、API访问控制：为每个API接口配置访问权限，确保只有授权的应用或用户才能调用API进行数据读写操作。</w:t>
            </w:r>
            <w:r>
              <w:br/>
            </w:r>
            <w:r>
              <w:rPr>
                <w:sz w:val="24"/>
              </w:rPr>
              <w:t>3、临时与长期授权：支持为特定应用或用户提供临时授权，授权过期后自动失效；同时支持长期授权，确保长期使用的应用可持续访问数据。</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API审计与日志管理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1、API操作日志：记录所有API操作的详细信息，包括访问时间、调用用户、API请求内容、响应状态、数据操作等。</w:t>
            </w:r>
            <w:r>
              <w:br/>
            </w:r>
            <w:r>
              <w:rPr>
                <w:sz w:val="24"/>
              </w:rPr>
              <w:t>2、审计功能：提供日志查询和审计功能，帮助管理员检查所有数据操作的合法性，及时发现异常操作。</w:t>
            </w:r>
            <w:r>
              <w:br/>
            </w:r>
            <w:r>
              <w:rPr>
                <w:sz w:val="24"/>
              </w:rPr>
              <w:t>3、日志存储与管理：确保所有API操作日志能长期存储并支持快速检索。</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数据访问控制与加密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1、数据加密：所有传输的数据应进行加密，包括在API请求与响应过程中的数据传输。特别是敏感信息（如医疗数据、个人信息）应进行加密。</w:t>
            </w:r>
            <w:r>
              <w:br/>
            </w:r>
            <w:r>
              <w:rPr>
                <w:sz w:val="24"/>
              </w:rPr>
              <w:t>2、加密存储：存储在平台中的敏感数据应进行加密，防止在数据泄露时被非法读取。</w:t>
            </w:r>
            <w:r>
              <w:br/>
            </w:r>
            <w:r>
              <w:rPr>
                <w:sz w:val="24"/>
              </w:rPr>
              <w:t>3、密钥管理：平台应支持密钥管理机制，用于加密和解密数据，并支持密钥的轮换、更新。</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数据访问日志管理与审计</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1、访问行为记录：系统应记录每次数据访问的详细信息，包括访问时间、访问用户、操作类型、访问数据、成功/失败状态等。</w:t>
            </w:r>
            <w:r>
              <w:br/>
            </w:r>
            <w:r>
              <w:rPr>
                <w:sz w:val="24"/>
              </w:rPr>
              <w:t>2、日志查询与分析：提供管理员查询访问日志的功能，支持按时间、用户、操作类型等多维度查询访问日志。</w:t>
            </w:r>
            <w:r>
              <w:br/>
            </w:r>
            <w:r>
              <w:rPr>
                <w:sz w:val="24"/>
              </w:rPr>
              <w:t>3、审计报告生成：能够根据访问日志自动生成审计报告，确保合规性检查。</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数据源接入与数据抓取模块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数据源接入</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1、数据库接入：支持通过标准的SQL协议（如JDBC、ODBC）连接和访问不同类型的数据库（如MySQL、PostgreSQL、Oracle等），从数据库中提取数据。</w:t>
            </w:r>
            <w:r>
              <w:br/>
            </w:r>
            <w:r>
              <w:rPr>
                <w:sz w:val="24"/>
              </w:rPr>
              <w:t>2、API接口接入：支持通过RESTful API、SOAP等协议从外部系统获取数据，能够处理API的身份验证、分页等功能。</w:t>
            </w:r>
            <w:r>
              <w:br/>
            </w:r>
            <w:r>
              <w:rPr>
                <w:sz w:val="24"/>
              </w:rPr>
              <w:t>3、文件系统接入：支持从文件系统（如本地文件、HDFS、FTP服务器等）获取数据，支持多种文件格式（如CSV、JSON、XML等）的读取。</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数据抓取与同步</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1、定期数据抓取：支持定期从外部数据源抓取数据并导入数据湖，支持配置抓取频率（如每天、每小时等）。</w:t>
            </w:r>
            <w:r>
              <w:br/>
            </w:r>
            <w:r>
              <w:rPr>
                <w:sz w:val="24"/>
              </w:rPr>
              <w:t>2、按需数据抓取：支持手动触发数据抓取操作，根据需求实时从外部系统获取数据。</w:t>
            </w:r>
            <w:r>
              <w:br/>
            </w:r>
            <w:r>
              <w:rPr>
                <w:sz w:val="24"/>
              </w:rPr>
              <w:t>3、增量数据抓取：支持增量抓取，减少不必要的重复数据传输，优化系统性能。通过标记最新数据（如基于时间戳、ID等）进行增量更新。</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数据转换与清洗</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1、数据清洗：对导入的数据进行格式化、去除重复数据、填补缺失值等处理，确保数据的完整性和一致性。</w:t>
            </w:r>
            <w:r>
              <w:br/>
            </w:r>
            <w:r>
              <w:rPr>
                <w:sz w:val="24"/>
              </w:rPr>
              <w:t>2、数据标准化：根据预定义的标准，对不同数据源的数据进行转换，统一字段格式、数据类型等。</w:t>
            </w:r>
            <w:r>
              <w:br/>
            </w:r>
            <w:r>
              <w:rPr>
                <w:sz w:val="24"/>
              </w:rPr>
              <w:t>3、错误处理：对抓取的数据进行错误检测，并提供相应的错误报告和修正机制。</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数据存储与同步</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1、数据存储：将清洗后的数据存储到数据湖系统，支持多种数据存储格式（如JSON、Parquet、Avro等）与存储策略。</w:t>
            </w:r>
            <w:r>
              <w:br/>
            </w:r>
            <w:r>
              <w:rPr>
                <w:sz w:val="24"/>
              </w:rPr>
              <w:t>2、数据同步：确保外部数据源与数据湖中的数据保持同步，避免出现数据丢失或不一致。</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异常处理与告警</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1、异常检测：实时监控数据抓取过程中的异常，发现问题时及时停止任务并生成错误报告。</w:t>
            </w:r>
            <w:r>
              <w:br/>
            </w:r>
            <w:r>
              <w:rPr>
                <w:sz w:val="24"/>
              </w:rPr>
              <w:t>2、告警机制：为系统管理员提供告警机制，当数据抓取任务失败或发生异常时，自动发送通知（如邮件、短信等）。</w:t>
            </w:r>
            <w:r>
              <w:br/>
            </w:r>
            <w:r>
              <w:rPr>
                <w:sz w:val="24"/>
              </w:rPr>
              <w:t>3、错误日志：记录所有数据抓取过程中的错误日志，便于问题排查和修复。</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数据处理与转化模块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数据清洗</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1、缺失值填补：通过特定的规则或算法（如均值填充、中位数填充、插值等）填补数据中的缺失值，确保数据的完整性。</w:t>
            </w:r>
            <w:r>
              <w:br/>
            </w:r>
            <w:r>
              <w:rPr>
                <w:sz w:val="24"/>
              </w:rPr>
              <w:t>2、重复数据去除：检查并去除数据中的重复记录，确保数据的唯一性。</w:t>
            </w:r>
            <w:r>
              <w:br/>
            </w:r>
            <w:r>
              <w:rPr>
                <w:sz w:val="24"/>
              </w:rPr>
              <w:t>3、异常值检测与处理：对数据中的异常值进行检测，并提供修复或剔除方案，避免其影响后续的数据分析。</w:t>
            </w:r>
            <w:r>
              <w:br/>
            </w:r>
            <w:r>
              <w:rPr>
                <w:sz w:val="24"/>
              </w:rPr>
              <w:t>4、格式化和标准化：对数据进行格式化处理（如日期格式统一、单位转换等），确保数据符合系统标准。</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数据格式转换</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1、格式转换：支持不同数据格式之间的转换，如CSV转为JSON，XML转为Parquet等。能够处理各种常见的文件格式和数据库格式。</w:t>
            </w:r>
            <w:r>
              <w:br/>
            </w:r>
            <w:r>
              <w:rPr>
                <w:sz w:val="24"/>
              </w:rPr>
              <w:t>2、数据字段映射：对于不同数据源中字段名称不一致的情况，提供字段映射功能，确保字段名称和格式的统一性。</w:t>
            </w:r>
            <w:r>
              <w:br/>
            </w:r>
            <w:r>
              <w:rPr>
                <w:sz w:val="24"/>
              </w:rPr>
              <w:t>3、批量转换：支持批量数据格式转换，确保大规模数据集的高效转换。</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数据标准化</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1、标准化规则：通过设定统一的标准格式（如单位、日期、数值范围等），将不同来源的异构数据转换为标准化格式。</w:t>
            </w:r>
            <w:r>
              <w:br/>
            </w:r>
            <w:r>
              <w:rPr>
                <w:sz w:val="24"/>
              </w:rPr>
              <w:t>2、数据单位转换：处理不同数据源使用的单位不一致的情况，如长度单位转换、温度单位转换等。</w:t>
            </w:r>
            <w:r>
              <w:br/>
            </w:r>
            <w:r>
              <w:rPr>
                <w:sz w:val="24"/>
              </w:rPr>
              <w:t>3、数据归一化：将数据进行归一化处理（如对数变换、线性转换等），确保数据适应模型训练和分析要求。</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数据集生成与处理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1、数据集创建：根据业务需求，生成结构化或非结构化的数据集，确保数据集适应不同分析与训练需求。</w:t>
            </w:r>
            <w:r>
              <w:br/>
            </w:r>
            <w:r>
              <w:rPr>
                <w:sz w:val="24"/>
              </w:rPr>
              <w:t>2、数据集更新与版本控制：支持对数据集的更新和版本控制，确保每个数据集的历史版本可以追溯。</w:t>
            </w:r>
            <w:r>
              <w:br/>
            </w:r>
            <w:r>
              <w:rPr>
                <w:sz w:val="24"/>
              </w:rPr>
              <w:t>3、数据集导出：支持将生成的数据集导出为不同格式，如CSV、Excel、JSON等，方便进一步的分析或模型训练使用。</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批量处理与并行计算</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1、批量数据处理：支持对大量数据的批量处理，包括清洗、格式转换、标准化等操作。</w:t>
            </w:r>
            <w:r>
              <w:br/>
            </w:r>
            <w:r>
              <w:rPr>
                <w:sz w:val="24"/>
              </w:rPr>
              <w:t>2、并行计算：通过并行计算框架（如分布式计算、MapReduce等）提高大数据集的处理效率，缩短处理时间。</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数据处理监控与报告</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1、处理进度监控：实时跟踪数据处理任务的执行进度，确保数据处理任务按时完成。</w:t>
            </w:r>
            <w:r>
              <w:br/>
            </w:r>
            <w:r>
              <w:rPr>
                <w:sz w:val="24"/>
              </w:rPr>
              <w:t>2、错误日志记录：记录数据处理过程中的错误日志，帮助开发人员快速定位问题并进行修复。</w:t>
            </w:r>
            <w:r>
              <w:br/>
            </w:r>
            <w:r>
              <w:rPr>
                <w:sz w:val="24"/>
              </w:rPr>
              <w:t>3、处理报告生成：自动生成处理报告，记录处理的结果和执行时间等信息，便于后期审核和优化。</w:t>
            </w:r>
          </w:p>
        </w:tc>
      </w:tr>
      <w:tr>
        <w:tc>
          <w:tcPr>
            <w:tcW w:type="dxa" w:w="1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AI训练与模型管理</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预训练模型存储</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1、模型上传与存储：支持将预训练模型上传到平台，模型将被存储在指定目录下，并支持与模型相关的元数据存储（如模型名称、版本、来源等）。</w:t>
            </w:r>
            <w:r>
              <w:br/>
            </w:r>
            <w:r>
              <w:rPr>
                <w:sz w:val="24"/>
              </w:rPr>
              <w:t>2、模型格式支持：支持常见的AI模型格式（如TensorFlow、PyTorch、Keras等）的存储。</w:t>
            </w:r>
            <w:r>
              <w:br/>
            </w:r>
            <w:r>
              <w:rPr>
                <w:sz w:val="24"/>
              </w:rPr>
              <w:t>3、模型元数据管理：为每个存储的模型生成元数据，包括版本号、描述、训练数据、模型精度等。</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训练模型管理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1、模型版本控制：提供模型版本控制功能，确保每次训练生成的模型能够正确标记版本号，并与历史版本进行对比。</w:t>
            </w:r>
            <w:r>
              <w:br/>
            </w:r>
            <w:r>
              <w:rPr>
                <w:sz w:val="24"/>
              </w:rPr>
              <w:t>2、模型存储：训练过程中生成的模型会被存储在平台中，确保模型数据的安全性和可用性。</w:t>
            </w:r>
            <w:r>
              <w:br/>
            </w:r>
            <w:r>
              <w:rPr>
                <w:sz w:val="24"/>
              </w:rPr>
              <w:t>3、模型元数据管理：为每个训练模型生成元数据，记录训练过程中的相关信息（如训练集、算法、训练参数等），方便后续查询和分析。</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模型格式转换</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1、模型格式转换：支持不同AI模型格式的转换（如TensorFlow到PyTorch、Keras到TensorFlow等）。通过提供工具扩展，支持自定义的转换规则。</w:t>
            </w:r>
            <w:r>
              <w:br/>
            </w:r>
            <w:r>
              <w:rPr>
                <w:sz w:val="24"/>
              </w:rPr>
              <w:t>2、模型参数管理：支持训练模型的参数管理，包括对训练过程中生成的超参数和模型权重的存储与更新。</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远程模型挂载与推理支持</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1、远程挂载支持：提供远程挂载功能，支持GPU集群访问存储在平台中的模型文件。通过挂载，推理程序可以直接访问模型文件并进行推理。</w:t>
            </w:r>
            <w:r>
              <w:br/>
            </w:r>
            <w:r>
              <w:rPr>
                <w:sz w:val="24"/>
              </w:rPr>
              <w:t>2、模型推理支持：虽然不直接执行推理任务，但平台应提供对推理程序加载模型文件的支持，确保推理程序能够顺利运行。</w:t>
            </w:r>
          </w:p>
        </w:tc>
      </w:tr>
      <w:tr>
        <w:tc>
          <w:tcPr>
            <w:tcW w:type="dxa" w:w="1613"/>
            <w:vMerge/>
            <w:tcBorders>
              <w:top w:val="none" w:color="000000" w:sz="4"/>
              <w:left w:val="singl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模型管理与审计</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1、模型操作记录：对每个模型的上传、下载、更新、删除等操作进行详细记录，确保模型的完整性。</w:t>
            </w:r>
            <w:r>
              <w:br/>
            </w:r>
            <w:r>
              <w:rPr>
                <w:sz w:val="24"/>
              </w:rPr>
              <w:t>2、审计与合规性：所有模型的操作行为（如版本更新、删除等）应满足审计要求，确保合规性。</w:t>
            </w:r>
          </w:p>
        </w:tc>
      </w:tr>
    </w:tbl>
    <w:p>
      <w:pPr>
        <w:pStyle w:val="null3"/>
        <w:jc w:val="both"/>
      </w:pPr>
      <w:r>
        <w:rPr>
          <w:sz w:val="24"/>
        </w:rPr>
        <w:t>2.详细技术参数要求：</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660"/>
        <w:gridCol w:w="929"/>
        <w:gridCol w:w="1724"/>
        <w:gridCol w:w="1897"/>
        <w:gridCol w:w="2096"/>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数据湖基础设施层</w:t>
            </w:r>
          </w:p>
        </w:tc>
      </w:tr>
      <w:tr>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一级功能模块</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二级功能模块</w:t>
            </w:r>
          </w:p>
        </w:tc>
        <w:tc>
          <w:tcPr>
            <w:tcW w:type="dxa" w:w="1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功能描述</w:t>
            </w:r>
          </w:p>
        </w:tc>
        <w:tc>
          <w:tcPr>
            <w:tcW w:type="dxa" w:w="399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技术参数及要求</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存储模块</w:t>
            </w: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磁盘分区与格式化</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提供磁盘的分区和格式化功能，支持不同存储设备（如</w:t>
            </w:r>
            <w:r>
              <w:rPr>
                <w:sz w:val="24"/>
              </w:rPr>
              <w:t>SSD、HDD、本国硬盘）的初始化，确保硬件设备的兼容性。</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磁盘健康监控与日志管理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实时监控磁盘的健康状态，并记录</w:t>
            </w:r>
            <w:r>
              <w:rPr>
                <w:sz w:val="24"/>
              </w:rPr>
              <w:t>I/O异常。</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数据分布与冗余管理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实现数据的分布式存储与冗余机制，确保数据安全与高可用性。</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存储池管理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创建、管理和分配存储池资源，根据不同业务需求动态分配存储空间，支持不同的存储策略。</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数据访问与控制</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存储权限管理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提供对存储系统的访问权限管理，定义不同用户和角色的权限。</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API访问管理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提供安全的</w:t>
            </w:r>
            <w:r>
              <w:rPr>
                <w:sz w:val="24"/>
              </w:rPr>
              <w:t>API接口，用于上层应用与存储系统进行交互。</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数据备份与恢复</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定期自动备份</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支持定期对存储的数据进行自动备份，提供备份周期与存储空间管理功能。</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快速数据恢复</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提供灵活的数据恢复机制，包括单文件恢复、全量恢复等，确保数据恢复操作的高效性与准确性。</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数据加密与安全</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国密支持</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同时支持标准密码学库与国密加密两种方式对数据进行加密、解密处理。</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数据存储加密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支持标记为敏感数据，自动对敏感数据进行加密存储。</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存储监控与报告</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存储性能监控</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实时监控存储系统的性能，确保存储系统在高负载情况下依然稳定运行。</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存储资源使用监控</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监控存储资源的使用情况，包括磁盘空间使用率、</w:t>
            </w:r>
            <w:r>
              <w:rPr>
                <w:sz w:val="24"/>
              </w:rPr>
              <w:t>IO压力、存储池负载等，帮助管理员及时优化资源。</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存储操作日志</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记录所有存储操作的日志信息，便于问题排查与审计，确保平台操作的透明性。</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系统管理模块</w:t>
            </w: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应用注册</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允许新应用注册，提供应用名称、描述、类型等基本信息录入，并生成唯一的应用</w:t>
            </w:r>
            <w:r>
              <w:rPr>
                <w:sz w:val="24"/>
              </w:rPr>
              <w:t>ID。</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应用生命周期管理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管理应用的生命周期，支持应用的启用、停用、删除等操作。</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授权配置</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配置每个应用的权限，确保应用只能访问自己的存储和资源，支持临时授权、长期授权等灵活配置。</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应用授权审计</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对应用授权操作进行审计，记录所有授权变更，并支持查看授权历史。</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用户管理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用户创建</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支持用户的注册和创建，录入用户信息并分配唯一的用户</w:t>
            </w:r>
            <w:r>
              <w:rPr>
                <w:sz w:val="24"/>
              </w:rPr>
              <w:t>ID，支持用户信息的更新与删除。</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用户账户管理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管理用户账户的生命周期，包括账户启用、停用、密码重置等功能。</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角色定义</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定义不同的用户角色，如管理员、数据分析师、应用开发者等，并为每个角色分配不同的权限。</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权限配置</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为用户角色分配具体的资源访问权限，确保用户只能访问和操作其有权限的数据和功能。</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权限与角色管理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权限定义与管理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管理数据资源、功能模块等的访问权限，定义哪些用户或角色可以执行哪些操作。</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权限继承与权限策略</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允许角色继承其他角色的权限，并配置权限的策略，如访问时间限制、数据操作限制等。</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资源管理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资源隔离与管理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对不同应用的存储资源进行隔离，确保每个应用只能访问和操作自己的数据资源。</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临时授权与访问控制</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提供临时授权机制，允许管理员为特定用户或应用在限定时间内访问特定资源。</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持久性授权与控制</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提供长期授权机制，确保用户或应用可以持久访问指定的资源。</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应用接口管理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API密钥生成与管理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生成和管理应用</w:t>
            </w:r>
            <w:r>
              <w:rPr>
                <w:sz w:val="24"/>
              </w:rPr>
              <w:t>API密钥，控制应用与系统交互的权限，确保安全的接口访问。</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API访问审计</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w:t>
            </w:r>
            <w:r>
              <w:rPr>
                <w:sz w:val="24"/>
              </w:rPr>
              <w:t>API访问日志，监控API调用情况，并审计每个调用的来源与访问权限。</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系统日志与审计</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系统行为记录</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记录所有用户和应用的操作日志，包括登录、操作、授权、配置变更等事件，确保系统行为可追溯。</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审计查询</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提供系统操作的查询功能，帮助管理员查看历史操作记录，便于问题排查和合规检查。</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目录模块</w:t>
            </w: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目录创建</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支持应用通过</w:t>
            </w:r>
            <w:r>
              <w:rPr>
                <w:sz w:val="24"/>
              </w:rPr>
              <w:t>API创建新的目录，目录可以是永久的也可以是临时的。每个应用可以创建多个目录，方便分类管理数据。</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目录信息修改与删除</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支持修改目录信息（如名称、描述等）及删除目录的功能，确保目录管理灵活可控。</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目录生命周期管理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管理目录的生命周期，包括目录的创建、启用、停用、删除等操作。</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内容上传</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提供内容上传功能，允许用户通过</w:t>
            </w:r>
            <w:r>
              <w:rPr>
                <w:sz w:val="24"/>
              </w:rPr>
              <w:t>API将数据/文件上传至指定目录，确保上传内容的完整性与正确性。</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内容关联与存储</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支持内容与目录的关联操作，每个目录可以包含多个内容，每个内容可以关联多个目录，形成多对多关系。</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目录访问与权限</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目录访问权限配置</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配置不同用户或应用对目录的访问权限，确保资源的安全性，只有授权用户或应用能够访问或修改目录中的内容。</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临时与长期授权</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提供灵活的授权机制，支持临时授权与长期授权，允许在特定时间段内允许其他应用或用户访问指定目录的内容。</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w:t>
            </w:r>
            <w:r>
              <w:rPr>
                <w:sz w:val="24"/>
              </w:rPr>
              <w:t>API管理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API访问与权限管理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提供标准化的</w:t>
            </w:r>
            <w:r>
              <w:rPr>
                <w:sz w:val="24"/>
              </w:rPr>
              <w:t>API接口，供应用开发方访问和管理目录内容，支持目录创建、修改、删除、内容上传及权限控制等功能。</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API日志审计</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w:t>
            </w:r>
            <w:r>
              <w:rPr>
                <w:sz w:val="24"/>
              </w:rPr>
              <w:t>API调用进行日志记录，便于审计和跟踪API的访问行为，确保API操作的安全性与合规性。</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目录监控与报告</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目录操作日志</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记录所有目录相关的操作行为，包括目录创建、修改、删除、内容上传、权限配置等，便于操作追踪与问题排查。</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目录存储与访问监控</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实时监控目录的存储使用情况、内容访问频率等信息，帮助管理员优化目录资源的管理与使用。</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标签管理</w:t>
            </w: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标签创建</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支持应用通过</w:t>
            </w:r>
            <w:r>
              <w:rPr>
                <w:sz w:val="24"/>
              </w:rPr>
              <w:t>API定义并创建新的标签，标签可以是应用特定的，也可以是跨应用共用的全局标签。</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标签分类与层级管理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标签可以被分类并支持层级结构，确保标签管理的灵活性和可扩展性。</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标签与数据关联</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允许应用将标签与数据或内容进行关联，每个数据或内容可以绑定多个标签。</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标签更新与删除</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支持更新或删除标签信息，包括标签的内容、分类、关联数据等。</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标签全局管理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全局标签库管理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统一管理系统中的所有标签，确保标签在系统中的全局唯一性与一致性。</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标签共享与使用统计</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记录并统计每个应用对标签的创建、使用情况，确保标签的全局共享并追踪其使用频率与应用。</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标签权限管理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标签访问权限配置</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配置标签的访问权限，确保只有授权的用户或应用能够使用、修改或删除标签。</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标签</w:t>
            </w:r>
            <w:r>
              <w:rPr>
                <w:sz w:val="24"/>
              </w:rPr>
              <w:t>API管理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w:t>
            </w:r>
            <w:r>
              <w:rPr>
                <w:sz w:val="24"/>
              </w:rPr>
              <w:t>API访问与操作</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提供标准化的</w:t>
            </w:r>
            <w:r>
              <w:rPr>
                <w:sz w:val="24"/>
              </w:rPr>
              <w:t>API接口，供应用开发方进行标签的创建、管理、更新、查询等操作。</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标签</w:t>
            </w:r>
            <w:r>
              <w:rPr>
                <w:sz w:val="24"/>
              </w:rPr>
              <w:t>API日志审计</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对所有</w:t>
            </w:r>
            <w:r>
              <w:rPr>
                <w:sz w:val="24"/>
              </w:rPr>
              <w:t>API操作进行日志记录，确保标签管理操作的可追溯性与审计合规性。</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元数据管理</w:t>
            </w: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元数据管理</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标准计算机文件元数据定义</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支持定义常见的计算机文件元数据类型（如文件大小、创建时间、修改时间、格式等），以便对常规文件进行管理。</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自定义元数据定义</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支持定义医疗场景中特有的自定义元数据类型（如</w:t>
            </w:r>
            <w:r>
              <w:rPr>
                <w:sz w:val="24"/>
              </w:rPr>
              <w:t>DICOM数据、病历信息、诊断报告等），并支持对其属性进行管理。</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元数据分类与层级管理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提供元数据分类管理功能，允许用户按需求创建元数据类型的层级结构，方便管理不同种类的元数据。</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元数据批量导入与导出</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支持批量导入和导出元数据，方便与其他系统进行数据交换，确保数据的高效迁移和整合。</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元数据查询与访问</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高效查询</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提供高效的元数据查询功能，支持基于元数据字段（如时间、类型、属性等）的多维度检索。</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元数据索引</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通过索引技术优化元数据检索性能，确保系统能够在海量数据中快速找到相关的元数据。</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元数据安全与审计</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访问权限管理</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配置不同用户和角色的元数据访问权限，确保只有授权的用户能够访问、修改和删除元数据。</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审计与日志记录</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记录元数据的访问与操作日志，确保元数据管理过程可追溯，便于审计和合规检查。</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数据利用服务</w:t>
            </w: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数据搜索</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多维度搜索</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支持根据目录、标签、元数据等多维度进行复杂的数据检索，用户可以自定义搜索条件，如数据类型、时间范围等。</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支持复杂查询</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提供支持</w:t>
            </w:r>
            <w:r>
              <w:rPr>
                <w:sz w:val="24"/>
              </w:rPr>
              <w:t>SQL风格的查询功能，支持联合查询、条件过滤、排序等复杂查询操作。</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统计与看板</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数据汇总统计</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提供对数据的汇总统计功能，包括数据量、数据类型、访问频次等统计指标，支持定制化统计需求。</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数据趋势分析</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根据历史数据生成趋势图，帮助用户了解数据变化的趋势与规律，支持时间序列数据的展示。</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数据可视化看板</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通过可视化组件（如图表、仪表盘等）展示关键数据指标，帮助用户快速了解数据分析结果。</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API接口</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数据搜索</w:t>
            </w:r>
            <w:r>
              <w:rPr>
                <w:sz w:val="24"/>
              </w:rPr>
              <w:t>API</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提供标准化的</w:t>
            </w:r>
            <w:r>
              <w:rPr>
                <w:sz w:val="24"/>
              </w:rPr>
              <w:t>API接口，允许上层应用或外部系统调用进行数据搜索和查询，支持复杂检索条件和自定义查询。</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统计与看板</w:t>
            </w:r>
            <w:r>
              <w:rPr>
                <w:sz w:val="24"/>
              </w:rPr>
              <w:t>API</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提供统计数据和可视化看板数据的</w:t>
            </w:r>
            <w:r>
              <w:rPr>
                <w:sz w:val="24"/>
              </w:rPr>
              <w:t>API接口，供其他系统或用户调用，返回统计结果或图表数据。</w:t>
            </w:r>
          </w:p>
        </w:tc>
      </w:tr>
      <w:tr>
        <w:tc>
          <w:tcPr>
            <w:tcW w:type="dxa" w:w="1660"/>
            <w:vMerge/>
            <w:tcBorders>
              <w:top w:val="none" w:color="000000" w:sz="4"/>
              <w:left w:val="single" w:color="000000" w:sz="4"/>
              <w:bottom w:val="single" w:color="000000" w:sz="4"/>
              <w:right w:val="single" w:color="000000" w:sz="4"/>
            </w:tcBorders>
          </w:tcP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缓存与优化</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数据缓存加速</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对经常访问的数据和统计结果进行缓存，优化数据访问速度，减少数据库查询开销。</w:t>
            </w:r>
          </w:p>
        </w:tc>
      </w:tr>
      <w:tr>
        <w:tc>
          <w:tcPr>
            <w:tcW w:type="dxa" w:w="1660"/>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缓存更新策略</w:t>
            </w:r>
          </w:p>
        </w:tc>
        <w:tc>
          <w:tcPr>
            <w:tcW w:type="dxa" w:w="39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提供灵活的缓存更新策略，包括实时更新、定时更新和周期性更新，支持根据应用需求配置缓存的过期时间或更新频率。</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数据运维应用层</w:t>
            </w:r>
          </w:p>
        </w:tc>
      </w:tr>
      <w:tr>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一级功能模块</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二级功能模块</w:t>
            </w:r>
          </w:p>
        </w:tc>
        <w:tc>
          <w:tcPr>
            <w:tcW w:type="dxa" w:w="362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功能描述</w:t>
            </w:r>
          </w:p>
        </w:tc>
        <w:tc>
          <w:tcPr>
            <w:tcW w:type="dxa" w:w="2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技术参数及要求</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数据访问与接口管理</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数据写入与查询</w:t>
            </w:r>
            <w:r>
              <w:rPr>
                <w:sz w:val="24"/>
              </w:rPr>
              <w:t>API</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1、数据写入：支持应用通过API将数据提交到数据平台，包括文件上传、数据记录保存等。上传的数据应根据数据类型和存储策略进行存储，支持多种文件格式。</w:t>
            </w:r>
            <w:r>
              <w:br/>
            </w:r>
            <w:r>
              <w:rPr>
                <w:sz w:val="24"/>
              </w:rPr>
              <w:t>2、数据查询：提供基于多维度的查询功能，包括时间范围、标签、目录、元数据等多种条件组合的查询。支持分页查询和数据筛选。</w:t>
            </w:r>
            <w:r>
              <w:br/>
            </w:r>
            <w:r>
              <w:rPr>
                <w:sz w:val="24"/>
              </w:rPr>
              <w:t>3、数据更新：允许通过API更新已存储的数据，支持数据修改、替换等操作。</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w:t>
            </w:r>
            <w:r>
              <w:rPr>
                <w:sz w:val="24"/>
              </w:rPr>
              <w:t>RESTful风格的HTTP API接口，支持POST（写入数据）、GET（查询数据）、PUT（更新数据）等标准HTTP方法；支持分页查询、大数据量查询优化，确保查询性能。</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权限控制与访问管理</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1、权限定义：管理员可以为不同角色和用户定义数据访问权限，确保每个用户只能访问自己有权限的数据。</w:t>
            </w:r>
            <w:r>
              <w:br/>
            </w:r>
            <w:r>
              <w:rPr>
                <w:sz w:val="24"/>
              </w:rPr>
              <w:t>2、API访问控制：为每个API接口配置访问权限，确保只有授权的应用或用户才能调用API进行数据读写操作。</w:t>
            </w:r>
            <w:r>
              <w:br/>
            </w:r>
            <w:r>
              <w:rPr>
                <w:sz w:val="24"/>
              </w:rPr>
              <w:t>3、临时与长期授权：支持为特定应用或用户提供临时授权，授权过期后自动失效；同时支持长期授权，确保长期使用的应用可持续访问数据。</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提供用户身份验证功能（如</w:t>
            </w:r>
            <w:r>
              <w:rPr>
                <w:sz w:val="24"/>
              </w:rPr>
              <w:t>OAuth2、API密钥等）；支持基于角色的访问控制（RBAC），并提供API接口，允许管理员动态修改访问权限</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API审计与日志管理</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1、API操作日志：记录所有API操作的详细信息，包括访问时间、调用用户、API请求内容、响应状态、数据操作等。</w:t>
            </w:r>
            <w:r>
              <w:br/>
            </w:r>
            <w:r>
              <w:rPr>
                <w:sz w:val="24"/>
              </w:rPr>
              <w:t>2、审计功能：提供日志查询和审计功能，帮助管理员检查所有数据操作的合法性，及时发现异常操作。</w:t>
            </w:r>
            <w:r>
              <w:br/>
            </w:r>
            <w:r>
              <w:rPr>
                <w:sz w:val="24"/>
              </w:rPr>
              <w:t>3、日志存储与管理：确保所有API操作日志能长期存储并支持快速检索。</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支持日志数据的</w:t>
            </w:r>
            <w:r>
              <w:rPr>
                <w:sz w:val="24"/>
              </w:rPr>
              <w:t>JSON格式存储，支持日志按时间范围、用户、操作类型等进行查询；提供API接口，允许管理员获取和分析日志数据。</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数据访问控制与加密</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1、数据加密：所有传输的数据应进行加密，包括在API请求与响应过程中的数据传输。特别是敏感信息（如医疗数据、个人信息）应进行加密。</w:t>
            </w:r>
            <w:r>
              <w:br/>
            </w:r>
            <w:r>
              <w:rPr>
                <w:sz w:val="24"/>
              </w:rPr>
              <w:t>2、加密存储：存储在平台中的敏感数据应进行加密，防止在数据泄露时被非法读取。</w:t>
            </w:r>
            <w:r>
              <w:br/>
            </w:r>
            <w:r>
              <w:rPr>
                <w:sz w:val="24"/>
              </w:rPr>
              <w:t>3、密钥管理：平台应支持密钥管理机制，用于加密和解密数据，并支持密钥的轮换、更新。</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支持使用标准加密协议（如</w:t>
            </w:r>
            <w:r>
              <w:rPr>
                <w:sz w:val="24"/>
              </w:rPr>
              <w:t>TLS、AES等）进行数据加密；提供密钥管理API接口，支持生成、更新和管理加密密钥。</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数据访问日志管理与审计</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1、访问行为记录：系统应记录每次数据访问的详细信息，包括访问时间、访问用户、操作类型、访问数据、成功/失败状态等。</w:t>
            </w:r>
            <w:r>
              <w:br/>
            </w:r>
            <w:r>
              <w:rPr>
                <w:sz w:val="24"/>
              </w:rPr>
              <w:t>2、日志查询与分析：提供管理员查询访问日志的功能，支持按时间、用户、操作类型等多维度查询访问日志。</w:t>
            </w:r>
            <w:r>
              <w:br/>
            </w:r>
            <w:r>
              <w:rPr>
                <w:sz w:val="24"/>
              </w:rPr>
              <w:t>3、审计报告生成：能够根据访问日志自动生成审计报告，确保合规性检查。</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支持基于时间、用户等多维度的日志查询功能；提供</w:t>
            </w:r>
            <w:r>
              <w:rPr>
                <w:sz w:val="24"/>
              </w:rPr>
              <w:t>API接口，供管理员获取访问日志并生成审计报告</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数据源接入与数据抓取模块</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数据源接入</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1、数据库接入：支持通过标准的SQL协议（如JDBC、ODBC）连接和访问不同类型的数据库（如MySQL、PostgreSQL、Oracle等），从数据库中提取数据。</w:t>
            </w:r>
            <w:r>
              <w:br/>
            </w:r>
            <w:r>
              <w:rPr>
                <w:sz w:val="24"/>
              </w:rPr>
              <w:t>2、API接口接入：支持通过RESTful API、SOAP等协议从外部系统获取数据，能够处理API的身份验证、分页等功能。</w:t>
            </w:r>
            <w:r>
              <w:br/>
            </w:r>
            <w:r>
              <w:rPr>
                <w:sz w:val="24"/>
              </w:rPr>
              <w:t>3、文件系统接入：支持从文件系统（如本地文件、HDFS、FTP服务器等）获取数据，支持多种文件格式（如CSV、JSON、XML等）的读取。</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提供统一的数据源接入</w:t>
            </w:r>
            <w:r>
              <w:rPr>
                <w:sz w:val="24"/>
              </w:rPr>
              <w:t>API接口，支持配置不同的数据源类型（数据库、API、文件系统等）；支持连接池机制，提高接入效率，减少重复连接开销。</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数据抓取与同步</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1、定期数据抓取：支持定期从外部数据源抓取数据并导入数据湖，支持配置抓取频率（如每天、每小时等）。</w:t>
            </w:r>
            <w:r>
              <w:br/>
            </w:r>
            <w:r>
              <w:rPr>
                <w:sz w:val="24"/>
              </w:rPr>
              <w:t>2、按需数据抓取：支持手动触发数据抓取操作，根据需求实时从外部系统获取数据。</w:t>
            </w:r>
            <w:r>
              <w:br/>
            </w:r>
            <w:r>
              <w:rPr>
                <w:sz w:val="24"/>
              </w:rPr>
              <w:t>3、增量数据抓取：支持增量抓取，减少不必要的重复数据传输，优化系统性能。通过标记最新数据（如基于时间戳、ID等）进行增量更新。</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提供定时任务接口，支持配置抓取周期、任务执行时间等；提供增量数据抓取接口，支持基于特定条件（如上次抓取时间）获取新数据。</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数据转换与清洗</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1、数据清洗：对导入的数据进行格式化、去除重复数据、填补缺失值等处理，确保数据的完整性和一致性。</w:t>
            </w:r>
            <w:r>
              <w:br/>
            </w:r>
            <w:r>
              <w:rPr>
                <w:sz w:val="24"/>
              </w:rPr>
              <w:t>2、数据标准化：根据预定义的标准，对不同数据源的数据进行转换，统一字段格式、数据类型等。</w:t>
            </w:r>
            <w:r>
              <w:br/>
            </w:r>
            <w:r>
              <w:rPr>
                <w:sz w:val="24"/>
              </w:rPr>
              <w:t>3、错误处理：对抓取的数据进行错误检测，并提供相应的错误报告和修正机制。</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提供数据清洗和转换接口，允许用户定义和应用数据清洗规则；支持对清洗失败的数据提供详细的错误信息，便于后续修复。</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数据存储与同步</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1、数据存储：将清洗后的数据存储到数据湖系统，支持多种数据存储格式（如JSON、Parquet、Avro等）与存储策略。</w:t>
            </w:r>
            <w:r>
              <w:br/>
            </w:r>
            <w:r>
              <w:rPr>
                <w:sz w:val="24"/>
              </w:rPr>
              <w:t>2、数据同步：确保外部数据源与数据湖中的数据保持同步，避免出现数据丢失或不一致。</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提供存储接口，支持将数据保存到不同的存储层（如原始存储、结构化存储等）；支持存储路径管理，确保数据存储的组织性与可扩展性。</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异常处理与告警</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1、异常检测：实时监控数据抓取过程中的异常，发现问题时及时停止任务并生成错误报告。</w:t>
            </w:r>
            <w:r>
              <w:br/>
            </w:r>
            <w:r>
              <w:rPr>
                <w:sz w:val="24"/>
              </w:rPr>
              <w:t>2、告警机制：为系统管理员提供告警机制，当数据抓取任务失败或发生异常时，自动发送通知（如邮件、短信等）。</w:t>
            </w:r>
            <w:r>
              <w:br/>
            </w:r>
            <w:r>
              <w:rPr>
                <w:sz w:val="24"/>
              </w:rPr>
              <w:t>3、错误日志：记录所有数据抓取过程中的错误日志，便于问题排查和修复。</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提供错误日志查询接口，管理员可以查看和分析抓取过程中的异常信息。</w:t>
            </w:r>
            <w:r>
              <w:br/>
            </w:r>
            <w:r>
              <w:rPr>
                <w:sz w:val="24"/>
              </w:rPr>
              <w:t>提供告警接口，支持配置不同类型的告警通知（如电子邮件、短信等）。</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数据处理与转化模块</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数据清洗</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1、缺失值填补：通过特定的规则或算法（如均值填充、中位数填充、插值等）填补数据中的缺失值，确保数据的完整性。</w:t>
            </w:r>
            <w:r>
              <w:br/>
            </w:r>
            <w:r>
              <w:rPr>
                <w:sz w:val="24"/>
              </w:rPr>
              <w:t>2、重复数据去除：检查并去除数据中的重复记录，确保数据的唯一性。</w:t>
            </w:r>
            <w:r>
              <w:br/>
            </w:r>
            <w:r>
              <w:rPr>
                <w:sz w:val="24"/>
              </w:rPr>
              <w:t>3、异常值检测与处理：对数据中的异常值进行检测，并提供修复或剔除方案，避免其影响后续的数据分析。</w:t>
            </w:r>
            <w:r>
              <w:br/>
            </w:r>
            <w:r>
              <w:rPr>
                <w:sz w:val="24"/>
              </w:rPr>
              <w:t>4、格式化和标准化：对数据进行格式化处理（如日期格式统一、单位转换等），确保数据符合系统标准。</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提供灵活的清洗规则接口，允许用户自定义清洗规则。</w:t>
            </w:r>
            <w:r>
              <w:br/>
            </w:r>
            <w:r>
              <w:rPr>
                <w:sz w:val="24"/>
              </w:rPr>
              <w:t>支持批量处理和逐条数据清洗，适应大规模数据集。</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数据格式转换</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1、格式转换：支持不同数据格式之间的转换，如CSV转为JSON，XML转为Parquet等。能够处理各种常见的文件格式和数据库格式。</w:t>
            </w:r>
            <w:r>
              <w:br/>
            </w:r>
            <w:r>
              <w:rPr>
                <w:sz w:val="24"/>
              </w:rPr>
              <w:t>2、数据字段映射：对于不同数据源中字段名称不一致的情况，提供字段映射功能，确保字段名称和格式的统一性。</w:t>
            </w:r>
            <w:r>
              <w:br/>
            </w:r>
            <w:r>
              <w:rPr>
                <w:sz w:val="24"/>
              </w:rPr>
              <w:t>3、批量转换：支持批量数据格式转换，确保大规模数据集的高效转换。</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提供格式转换接口，支持常见格式的转换，如</w:t>
            </w:r>
            <w:r>
              <w:rPr>
                <w:sz w:val="24"/>
              </w:rPr>
              <w:t>CSV、JSON、XML、Parquet等。</w:t>
            </w:r>
            <w:r>
              <w:br/>
            </w:r>
            <w:r>
              <w:rPr>
                <w:sz w:val="24"/>
              </w:rPr>
              <w:t>提供字段映射接口，支持用户自定义字段映射规则。</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数据标准化</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1、标准化规则：通过设定统一的标准格式（如单位、日期、数值范围等），将不同来源的异构数据转换为标准化格式。</w:t>
            </w:r>
            <w:r>
              <w:br/>
            </w:r>
            <w:r>
              <w:rPr>
                <w:sz w:val="24"/>
              </w:rPr>
              <w:t>2、数据单位转换：处理不同数据源使用的单位不一致的情况，如长度单位转换、温度单位转换等。</w:t>
            </w:r>
            <w:r>
              <w:br/>
            </w:r>
            <w:r>
              <w:rPr>
                <w:sz w:val="24"/>
              </w:rPr>
              <w:t>3、数据归一化：将数据进行归一化处理（如对数变换、线性转换等），确保数据适应模型训练和分析要求。</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提供标准化规则配置接口，允许用户定义统一的数据标准。</w:t>
            </w:r>
            <w:r>
              <w:br/>
            </w:r>
            <w:r>
              <w:rPr>
                <w:sz w:val="24"/>
              </w:rPr>
              <w:t>提供单位转换功能接口，确保不同单位的数据能够互相转换。</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数据集生成与处理</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1、数据集创建：根据业务需求，生成结构化或非结构化的数据集，确保数据集适应不同分析与训练需求。</w:t>
            </w:r>
            <w:r>
              <w:br/>
            </w:r>
            <w:r>
              <w:rPr>
                <w:sz w:val="24"/>
              </w:rPr>
              <w:t>2、数据集更新与版本控制：支持对数据集的更新和版本控制，确保每个数据集的历史版本可以追溯。</w:t>
            </w:r>
            <w:r>
              <w:br/>
            </w:r>
            <w:r>
              <w:rPr>
                <w:sz w:val="24"/>
              </w:rPr>
              <w:t>3、数据集导出：支持将生成的数据集导出为不同格式，如CSV、Excel、JSON等，方便进一步的分析或模型训练使用。</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提供数据集创建与更新接口，允许用户定义数据集结构和内容。</w:t>
            </w:r>
            <w:r>
              <w:br/>
            </w:r>
            <w:r>
              <w:rPr>
                <w:sz w:val="24"/>
              </w:rPr>
              <w:t>支持数据集的版本控制接口，确保每个版本的数据集都能被追溯。</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批量处理与并行计算</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1、批量数据处理：支持对大量数据的批量处理，包括清洗、格式转换、标准化等操作。</w:t>
            </w:r>
            <w:r>
              <w:br/>
            </w:r>
            <w:r>
              <w:rPr>
                <w:sz w:val="24"/>
              </w:rPr>
              <w:t>2、并行计算：通过并行计算框架（如分布式计算、MapReduce等）提高大数据集的处理效率，缩短处理时间。</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提供批量数据处理接口，支持按批次进行数据操作。</w:t>
            </w:r>
            <w:r>
              <w:br/>
            </w:r>
            <w:r>
              <w:rPr>
                <w:sz w:val="24"/>
              </w:rPr>
              <w:t>支持并行计算框架的</w:t>
            </w:r>
            <w:r>
              <w:rPr>
                <w:sz w:val="24"/>
              </w:rPr>
              <w:t>API接口，允许用户将任务分发到多个计算节点上进行处理。</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数据处理监控与报告</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1、处理进度监控：实时跟踪数据处理任务的执行进度，确保数据处理任务按时完成。</w:t>
            </w:r>
            <w:r>
              <w:br/>
            </w:r>
            <w:r>
              <w:rPr>
                <w:sz w:val="24"/>
              </w:rPr>
              <w:t>2、错误日志记录：记录数据处理过程中的错误日志，帮助开发人员快速定位问题并进行修复。</w:t>
            </w:r>
            <w:r>
              <w:br/>
            </w:r>
            <w:r>
              <w:rPr>
                <w:sz w:val="24"/>
              </w:rPr>
              <w:t>3、处理报告生成：自动生成处理报告，记录处理的结果和执行时间等信息，便于后期审核和优化。</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提供实时进度查询接口，允许管理员查看处理任务的执行状态。</w:t>
            </w:r>
            <w:r>
              <w:br/>
            </w:r>
            <w:r>
              <w:rPr>
                <w:sz w:val="24"/>
              </w:rPr>
              <w:t>支持错误日志查询接口，方便管理员排查问题。</w:t>
            </w:r>
          </w:p>
        </w:tc>
      </w:tr>
      <w:tr>
        <w:tc>
          <w:tcPr>
            <w:tcW w:type="dxa" w:w="1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AI训练与模型管理</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预训练模型存储</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1、模型上传与存储：支持将预训练模型上传到平台，模型将被存储在指定目录下，并支持与模型相关的元数据存储（如模型名称、版本、来源等）。</w:t>
            </w:r>
            <w:r>
              <w:br/>
            </w:r>
            <w:r>
              <w:rPr>
                <w:sz w:val="24"/>
              </w:rPr>
              <w:t>2、模型格式支持：支持常见的AI模型格式（如TensorFlow、PyTorch、Keras等）的存储。</w:t>
            </w:r>
            <w:r>
              <w:br/>
            </w:r>
            <w:r>
              <w:rPr>
                <w:sz w:val="24"/>
              </w:rPr>
              <w:t>3、模型元数据管理：为每个存储的模型生成元数据，包括版本号、描述、训练数据、模型精度等。</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提供模型上传</w:t>
            </w:r>
            <w:r>
              <w:rPr>
                <w:sz w:val="24"/>
              </w:rPr>
              <w:t>API，允许用户上传不同类型的AI模型。</w:t>
            </w:r>
            <w:r>
              <w:br/>
            </w:r>
            <w:r>
              <w:rPr>
                <w:sz w:val="24"/>
              </w:rPr>
              <w:t>提供模型元数据管理接口，支持查询、修改和更新模型元数据。</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训练模型管理</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1、模型版本控制：提供模型版本控制功能，确保每次训练生成的模型能够正确标记版本号，并与历史版本进行对比。</w:t>
            </w:r>
            <w:r>
              <w:br/>
            </w:r>
            <w:r>
              <w:rPr>
                <w:sz w:val="24"/>
              </w:rPr>
              <w:t>2、模型存储：训练过程中生成的模型会被存储在平台中，确保模型数据的安全性和可用性。</w:t>
            </w:r>
            <w:r>
              <w:br/>
            </w:r>
            <w:r>
              <w:rPr>
                <w:sz w:val="24"/>
              </w:rPr>
              <w:t>3、模型元数据管理：为每个训练模型生成元数据，记录训练过程中的相关信息（如训练集、算法、训练参数等），方便后续查询和分析。</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提供模型版本管理</w:t>
            </w:r>
            <w:r>
              <w:rPr>
                <w:sz w:val="24"/>
              </w:rPr>
              <w:t>API，支持模型版本的查询、更新、删除。</w:t>
            </w:r>
            <w:r>
              <w:br/>
            </w:r>
            <w:r>
              <w:rPr>
                <w:sz w:val="24"/>
              </w:rPr>
              <w:t>提供训练模型元数据管理</w:t>
            </w:r>
            <w:r>
              <w:rPr>
                <w:sz w:val="24"/>
              </w:rPr>
              <w:t>API，支持上传和更新模型相关信息。</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模型格式转换</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1、模型格式转换：支持不同AI模型格式的转换（如TensorFlow到PyTorch、Keras到TensorFlow等）。通过提供工具扩展，支持自定义的转换规则。</w:t>
            </w:r>
            <w:r>
              <w:br/>
            </w:r>
            <w:r>
              <w:rPr>
                <w:sz w:val="24"/>
              </w:rPr>
              <w:t>2、模型参数管理：支持训练模型的参数管理，包括对训练过程中生成的超参数和模型权重的存储与更新。</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提供模型格式转换</w:t>
            </w:r>
            <w:r>
              <w:rPr>
                <w:sz w:val="24"/>
              </w:rPr>
              <w:t>API，支持常见格式间的转换。</w:t>
            </w:r>
            <w:r>
              <w:br/>
            </w:r>
            <w:r>
              <w:rPr>
                <w:sz w:val="24"/>
              </w:rPr>
              <w:t>提供模型参数管理接口，支持模型参数的导入、导出和转换。</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远程模型挂载与推理支持</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1、远程挂载支持：提供远程挂载功能，支持GPU集群访问存储在平台中的模型文件。通过挂载，推理程序可以直接访问模型文件并进行推理。</w:t>
            </w:r>
            <w:r>
              <w:br/>
            </w:r>
            <w:r>
              <w:rPr>
                <w:sz w:val="24"/>
              </w:rPr>
              <w:t>2、模型推理支持：虽然不直接执行推理任务，但平台应提供对推理程序加载模型文件的支持，确保推理程序能够顺利运行。</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提供远程模型挂载</w:t>
            </w:r>
            <w:r>
              <w:rPr>
                <w:sz w:val="24"/>
              </w:rPr>
              <w:t>API，支持GPU集群对模型文件的挂载访问。</w:t>
            </w:r>
            <w:r>
              <w:br/>
            </w:r>
            <w:r>
              <w:rPr>
                <w:sz w:val="24"/>
              </w:rPr>
              <w:t>提供模型推理相关的</w:t>
            </w:r>
            <w:r>
              <w:rPr>
                <w:sz w:val="24"/>
              </w:rPr>
              <w:t>API，确保推理程序能够访问存储的模型文件。</w:t>
            </w:r>
          </w:p>
        </w:tc>
      </w:tr>
      <w:tr>
        <w:tc>
          <w:tcPr>
            <w:tcW w:type="dxa" w:w="1660"/>
            <w:vMerge/>
            <w:tcBorders>
              <w:top w:val="none" w:color="000000" w:sz="4"/>
              <w:left w:val="singl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模型管理与审计</w:t>
            </w:r>
          </w:p>
        </w:tc>
        <w:tc>
          <w:tcPr>
            <w:tcW w:type="dxa" w:w="36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1、模型操作记录：对每个模型的上传、下载、更新、删除等操作进行详细记录，确保模型的完整性。</w:t>
            </w:r>
            <w:r>
              <w:br/>
            </w:r>
            <w:r>
              <w:rPr>
                <w:sz w:val="24"/>
              </w:rPr>
              <w:t>2、审计与合规性：所有模型的操作行为（如版本更新、删除等）应满足审计要求，确保合规性。</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提供模型操作日志</w:t>
            </w:r>
            <w:r>
              <w:rPr>
                <w:sz w:val="24"/>
              </w:rPr>
              <w:t>API，支持查询模型的操作历史记录。</w:t>
            </w:r>
            <w:r>
              <w:br/>
            </w:r>
            <w:r>
              <w:rPr>
                <w:sz w:val="24"/>
              </w:rPr>
              <w:t>提供审计接口，确保所有操作的合规性和透明度。</w:t>
            </w:r>
          </w:p>
        </w:tc>
      </w:tr>
    </w:tbl>
    <w:p>
      <w:pPr>
        <w:pStyle w:val="null3"/>
        <w:ind w:left="480" w:firstLine="67"/>
        <w:jc w:val="both"/>
      </w:pPr>
      <w:r>
        <w:rPr>
          <w:sz w:val="24"/>
        </w:rPr>
        <w:t>（三）</w:t>
      </w:r>
      <w:r>
        <w:rPr>
          <w:sz w:val="24"/>
        </w:rPr>
        <w:t>运维服务质量考核表</w:t>
      </w:r>
      <w:r>
        <w:br/>
      </w:r>
      <w:r>
        <w:rPr>
          <w:sz w:val="24"/>
        </w:rPr>
        <w:t>考核满分为</w:t>
      </w:r>
      <w:r>
        <w:rPr>
          <w:sz w:val="24"/>
        </w:rPr>
        <w:t>100分。评分细则如下（</w:t>
      </w:r>
      <w:r>
        <w:rPr>
          <w:sz w:val="24"/>
        </w:rPr>
        <w:t>扣减分情况</w:t>
      </w:r>
      <w:r>
        <w:rPr>
          <w:sz w:val="24"/>
        </w:rPr>
        <w:t>）</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098"/>
        <w:gridCol w:w="1437"/>
        <w:gridCol w:w="4729"/>
        <w:gridCol w:w="1038"/>
      </w:tblGrid>
      <w:tr>
        <w:tc>
          <w:tcPr>
            <w:tcW w:type="dxa" w:w="1098"/>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序号</w:t>
            </w:r>
          </w:p>
        </w:tc>
        <w:tc>
          <w:tcPr>
            <w:tcW w:type="dxa" w:w="1437"/>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考核项目</w:t>
            </w:r>
          </w:p>
        </w:tc>
        <w:tc>
          <w:tcPr>
            <w:tcW w:type="dxa" w:w="472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评分细则</w:t>
            </w:r>
          </w:p>
        </w:tc>
        <w:tc>
          <w:tcPr>
            <w:tcW w:type="dxa" w:w="1038"/>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扣分情况</w:t>
            </w: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1</w:t>
            </w:r>
          </w:p>
        </w:tc>
        <w:tc>
          <w:tcPr>
            <w:tcW w:type="dxa" w:w="1437"/>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优化需求管理</w:t>
            </w: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1、未能按时完成需求收集工作，扣2分。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tcBorders>
              <w:top w:val="none" w:color="000000" w:sz="4"/>
              <w:left w:val="single" w:color="000000" w:sz="4"/>
              <w:bottom w:val="single" w:color="000000" w:sz="4"/>
              <w:right w:val="single" w:color="000000" w:sz="4"/>
            </w:tcBorders>
          </w:tcPr>
          <w:p/>
        </w:tc>
        <w:tc>
          <w:tcPr>
            <w:tcW w:type="dxa" w:w="1437"/>
            <w:vMerge/>
            <w:tcBorders>
              <w:top w:val="none" w:color="000000" w:sz="4"/>
              <w:left w:val="none" w:color="000000" w:sz="4"/>
              <w:bottom w:val="single" w:color="000000" w:sz="4"/>
              <w:right w:val="single" w:color="000000" w:sz="4"/>
            </w:tcBorders>
          </w:tcP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2、擅自修改已确定的优化需求范围，不通报甲方对接人的，发现一次扣2分。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tcBorders>
              <w:top w:val="none" w:color="000000" w:sz="4"/>
              <w:left w:val="single" w:color="000000" w:sz="4"/>
              <w:bottom w:val="single" w:color="000000" w:sz="4"/>
              <w:right w:val="single" w:color="000000" w:sz="4"/>
            </w:tcBorders>
          </w:tcPr>
          <w:p/>
        </w:tc>
        <w:tc>
          <w:tcPr>
            <w:tcW w:type="dxa" w:w="1437"/>
            <w:vMerge/>
            <w:tcBorders>
              <w:top w:val="none" w:color="000000" w:sz="4"/>
              <w:left w:val="none" w:color="000000" w:sz="4"/>
              <w:bottom w:val="single" w:color="000000" w:sz="4"/>
              <w:right w:val="single" w:color="000000" w:sz="4"/>
            </w:tcBorders>
          </w:tcP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3、发现重大优化需求分析缺陷，扣2分。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2</w:t>
            </w:r>
          </w:p>
        </w:tc>
        <w:tc>
          <w:tcPr>
            <w:tcW w:type="dxa" w:w="1437"/>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沟通管理</w:t>
            </w: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1、对外擅自承诺新版本发布或BUG修复时间，发现一次扣2分。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tcBorders>
              <w:top w:val="none" w:color="000000" w:sz="4"/>
              <w:left w:val="single" w:color="000000" w:sz="4"/>
              <w:bottom w:val="single" w:color="000000" w:sz="4"/>
              <w:right w:val="single" w:color="000000" w:sz="4"/>
            </w:tcBorders>
          </w:tcPr>
          <w:p/>
        </w:tc>
        <w:tc>
          <w:tcPr>
            <w:tcW w:type="dxa" w:w="1437"/>
            <w:vMerge/>
            <w:tcBorders>
              <w:top w:val="none" w:color="000000" w:sz="4"/>
              <w:left w:val="none" w:color="000000" w:sz="4"/>
              <w:bottom w:val="single" w:color="000000" w:sz="4"/>
              <w:right w:val="single" w:color="000000" w:sz="4"/>
            </w:tcBorders>
          </w:tcP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2、项目软件有BUG,发现以后不及时通报甲方对接人，不能及时解决因为BUG导致的开发问题，发现一次扣3分。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3</w:t>
            </w:r>
          </w:p>
        </w:tc>
        <w:tc>
          <w:tcPr>
            <w:tcW w:type="dxa" w:w="1437"/>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故障处理及</w:t>
            </w:r>
            <w:r>
              <w:rPr>
                <w:sz w:val="24"/>
              </w:rPr>
              <w:t>Bug修复时限</w:t>
            </w: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1、引起业务中断的故障（明确非项目软件原因除外），每发生一次重大故障扣5分到15分；每发生一次非重大故障扣1分到4分；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tcBorders>
              <w:top w:val="none" w:color="000000" w:sz="4"/>
              <w:left w:val="single" w:color="000000" w:sz="4"/>
              <w:bottom w:val="single" w:color="000000" w:sz="4"/>
              <w:right w:val="single" w:color="000000" w:sz="4"/>
            </w:tcBorders>
          </w:tcPr>
          <w:p/>
        </w:tc>
        <w:tc>
          <w:tcPr>
            <w:tcW w:type="dxa" w:w="1437"/>
            <w:vMerge/>
            <w:tcBorders>
              <w:top w:val="none" w:color="000000" w:sz="4"/>
              <w:left w:val="none" w:color="000000" w:sz="4"/>
              <w:bottom w:val="single" w:color="000000" w:sz="4"/>
              <w:right w:val="single" w:color="000000" w:sz="4"/>
            </w:tcBorders>
          </w:tcP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2、因文档不全、人员未及时到位等导致不能及时进行故障处理，每次扣2分；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tcBorders>
              <w:top w:val="none" w:color="000000" w:sz="4"/>
              <w:left w:val="single" w:color="000000" w:sz="4"/>
              <w:bottom w:val="single" w:color="000000" w:sz="4"/>
              <w:right w:val="single" w:color="000000" w:sz="4"/>
            </w:tcBorders>
          </w:tcPr>
          <w:p/>
        </w:tc>
        <w:tc>
          <w:tcPr>
            <w:tcW w:type="dxa" w:w="1437"/>
            <w:vMerge/>
            <w:tcBorders>
              <w:top w:val="none" w:color="000000" w:sz="4"/>
              <w:left w:val="none" w:color="000000" w:sz="4"/>
              <w:bottom w:val="single" w:color="000000" w:sz="4"/>
              <w:right w:val="single" w:color="000000" w:sz="4"/>
            </w:tcBorders>
          </w:tcP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3、未按照共同确定的时限修复软件BUG,发现一次扣5分。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4</w:t>
            </w:r>
          </w:p>
        </w:tc>
        <w:tc>
          <w:tcPr>
            <w:tcW w:type="dxa" w:w="1437"/>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文档管理</w:t>
            </w: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1、优化版本没有完整的设计、实施、开发、维护文档，而发布上线，发现一次扣3分。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tcBorders>
              <w:top w:val="none" w:color="000000" w:sz="4"/>
              <w:left w:val="single" w:color="000000" w:sz="4"/>
              <w:bottom w:val="single" w:color="000000" w:sz="4"/>
              <w:right w:val="single" w:color="000000" w:sz="4"/>
            </w:tcBorders>
          </w:tcPr>
          <w:p/>
        </w:tc>
        <w:tc>
          <w:tcPr>
            <w:tcW w:type="dxa" w:w="1437"/>
            <w:vMerge/>
            <w:tcBorders>
              <w:top w:val="none" w:color="000000" w:sz="4"/>
              <w:left w:val="none" w:color="000000" w:sz="4"/>
              <w:bottom w:val="single" w:color="000000" w:sz="4"/>
              <w:right w:val="single" w:color="000000" w:sz="4"/>
            </w:tcBorders>
          </w:tcP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2、文档更新不及时，发现一次扣1分，引起问题的，发现一次扣2分。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5</w:t>
            </w:r>
          </w:p>
        </w:tc>
        <w:tc>
          <w:tcPr>
            <w:tcW w:type="dxa" w:w="143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版本管理</w:t>
            </w: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1、没有及时按要求进行版本的升级维护，发现一次扣3分。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6</w:t>
            </w:r>
          </w:p>
        </w:tc>
        <w:tc>
          <w:tcPr>
            <w:tcW w:type="dxa" w:w="1437"/>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日常维护</w:t>
            </w: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1、电话支持服务：</w:t>
            </w:r>
            <w:r>
              <w:br/>
            </w:r>
            <w:r>
              <w:rPr>
                <w:sz w:val="24"/>
              </w:rPr>
              <w:t>上班时间无人接听支持电话，每发生一次扣</w:t>
            </w:r>
            <w:r>
              <w:rPr>
                <w:sz w:val="24"/>
              </w:rPr>
              <w:t>1分；</w:t>
            </w:r>
            <w:r>
              <w:br/>
            </w:r>
            <w:r>
              <w:rPr>
                <w:sz w:val="24"/>
              </w:rPr>
              <w:t>接听支持电话时，态度不好或推诿，每发生一次扣</w:t>
            </w:r>
            <w:r>
              <w:rPr>
                <w:sz w:val="24"/>
              </w:rPr>
              <w:t>1分；</w:t>
            </w:r>
            <w:r>
              <w:br/>
            </w:r>
            <w:r>
              <w:rPr>
                <w:sz w:val="24"/>
              </w:rPr>
              <w:t>对于无法电话中解决的问题，下一步解决安排不妥当而导致投诉升级，每发生一次扣</w:t>
            </w:r>
            <w:r>
              <w:rPr>
                <w:sz w:val="24"/>
              </w:rPr>
              <w:t>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vMerge/>
            <w:tcBorders>
              <w:top w:val="none" w:color="000000" w:sz="4"/>
              <w:left w:val="single" w:color="000000" w:sz="4"/>
              <w:bottom w:val="single" w:color="000000" w:sz="4"/>
              <w:right w:val="single" w:color="000000" w:sz="4"/>
            </w:tcBorders>
          </w:tcPr>
          <w:p/>
        </w:tc>
        <w:tc>
          <w:tcPr>
            <w:tcW w:type="dxa" w:w="1437"/>
            <w:vMerge/>
            <w:tcBorders>
              <w:top w:val="none" w:color="000000" w:sz="4"/>
              <w:left w:val="none" w:color="000000" w:sz="4"/>
              <w:bottom w:val="single" w:color="000000" w:sz="4"/>
              <w:right w:val="single" w:color="000000" w:sz="4"/>
            </w:tcBorders>
          </w:tcP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2、邮件支持服务：</w:t>
            </w:r>
            <w:r>
              <w:br/>
            </w:r>
            <w:r>
              <w:rPr>
                <w:sz w:val="24"/>
              </w:rPr>
              <w:t>收到用户（含用户方集成商）反映问题的邮件后，在</w:t>
            </w:r>
            <w:r>
              <w:rPr>
                <w:sz w:val="24"/>
              </w:rPr>
              <w:t>24小时内不处理（周六、日除外），每发生一次扣1分；</w:t>
            </w:r>
            <w:r>
              <w:br/>
            </w:r>
            <w:r>
              <w:rPr>
                <w:sz w:val="24"/>
              </w:rPr>
              <w:t>处理完用户的问题后，不及时反馈，每发生一次扣</w:t>
            </w:r>
            <w:r>
              <w:rPr>
                <w:sz w:val="24"/>
              </w:rPr>
              <w:t>1分；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7</w:t>
            </w:r>
          </w:p>
        </w:tc>
        <w:tc>
          <w:tcPr>
            <w:tcW w:type="dxa" w:w="143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重大事项一票否决规定</w:t>
            </w: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对于项目软件提供商严重违反规定，如：项目严重超期、产品质量严重不符合甲方要求、泄露系统配置、系统信息、相关文档内容和核心技术；因其他原因导致重大故障，引起严重后果。当次考核得分为零，并按相关规定追究当事人及所在公司的责任。</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1098"/>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8</w:t>
            </w:r>
          </w:p>
        </w:tc>
        <w:tc>
          <w:tcPr>
            <w:tcW w:type="dxa" w:w="143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奖励和加分说明</w:t>
            </w:r>
          </w:p>
        </w:tc>
        <w:tc>
          <w:tcPr>
            <w:tcW w:type="dxa" w:w="47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both"/>
            </w:pPr>
            <w:r>
              <w:rPr>
                <w:sz w:val="24"/>
              </w:rPr>
              <w:t>1.奖励得分前提条件为当月基本得分在80分以上，且奖励总分原则上不超过20分，奖励分数+当月基本得分原则上不超过100分。</w:t>
            </w:r>
          </w:p>
          <w:p>
            <w:pPr>
              <w:pStyle w:val="null3"/>
              <w:jc w:val="both"/>
            </w:pPr>
            <w:r>
              <w:rPr>
                <w:sz w:val="24"/>
              </w:rPr>
              <w:t>2.发现基于此项目在开发和维护管理中存在风险并及时提出解决方案每次可给予5分奖励。</w:t>
            </w:r>
          </w:p>
          <w:p>
            <w:pPr>
              <w:pStyle w:val="null3"/>
              <w:jc w:val="both"/>
            </w:pPr>
            <w:r>
              <w:rPr>
                <w:sz w:val="24"/>
              </w:rPr>
              <w:t>3.发生系统故障，并积极主动配合并挽回或避免损失可给予2到6分奖励。</w:t>
            </w:r>
          </w:p>
          <w:p>
            <w:pPr>
              <w:pStyle w:val="null3"/>
              <w:jc w:val="both"/>
            </w:pPr>
            <w:r>
              <w:rPr>
                <w:sz w:val="24"/>
              </w:rPr>
              <w:t>4.提出有价值的合理化建议，每次给予加1分奖励，如果采纳并取得显著效果的，每次给予加5分奖励。</w:t>
            </w:r>
          </w:p>
          <w:p>
            <w:pPr>
              <w:pStyle w:val="null3"/>
              <w:jc w:val="both"/>
            </w:pPr>
            <w:r>
              <w:rPr>
                <w:sz w:val="24"/>
              </w:rPr>
              <w:t>5.对投诉处理积极主动，提出合理化解决投诉方案，配合解决好重大投诉,可给与1-5分奖励。</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r>
        <w:tc>
          <w:tcPr>
            <w:tcW w:type="dxa" w:w="7264"/>
            <w:gridSpan w:val="3"/>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4"/>
              </w:rPr>
              <w:t>总得分（扣减分后）</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left="480" w:firstLine="67"/>
              <w:jc w:val="center"/>
            </w:pPr>
          </w:p>
        </w:tc>
      </w:tr>
    </w:tbl>
    <w:p>
      <w:pPr>
        <w:pStyle w:val="null3"/>
        <w:jc w:val="both"/>
      </w:pPr>
      <w:r>
        <w:rPr>
          <w:sz w:val="24"/>
        </w:rPr>
        <w:t>考核说明：采用</w:t>
      </w:r>
      <w:r>
        <w:rPr>
          <w:sz w:val="24"/>
        </w:rPr>
        <w:t>100分制，运维服务期内，甲方每半年对乙方的运维服务质量情况进行考核，甲方根据乙方该年度两次运维服务质量考核结果的平均值支付运维服务期满后的服务费：</w:t>
      </w:r>
    </w:p>
    <w:p>
      <w:pPr>
        <w:pStyle w:val="null3"/>
        <w:jc w:val="both"/>
      </w:pPr>
      <w:r>
        <w:rPr>
          <w:sz w:val="24"/>
        </w:rPr>
        <w:t>1.优秀：运维服务质量考核在90分（含）以上，足额支付运维服务期满后的服务费。</w:t>
      </w:r>
    </w:p>
    <w:p>
      <w:pPr>
        <w:pStyle w:val="null3"/>
        <w:jc w:val="both"/>
      </w:pPr>
      <w:r>
        <w:rPr>
          <w:sz w:val="24"/>
        </w:rPr>
        <w:t>2.良好：运维服务质量考核在80分-89分，扣除运维服务期满后的服务费人民币2,000.00元，并责令乙方加强运维服务质量管理。</w:t>
      </w:r>
    </w:p>
    <w:p>
      <w:pPr>
        <w:pStyle w:val="null3"/>
        <w:jc w:val="both"/>
      </w:pPr>
      <w:r>
        <w:rPr>
          <w:sz w:val="24"/>
        </w:rPr>
        <w:t>3.合格：运维服务质量考核在60分-79分，扣除运维服务期满后的服务费人民币5,000.00元并责令整改，若整改无效的甲方有权单方面解除合同并没收履约保证金，一切责任与甲方无关。</w:t>
      </w:r>
    </w:p>
    <w:p>
      <w:pPr>
        <w:pStyle w:val="null3"/>
        <w:jc w:val="both"/>
      </w:pPr>
      <w:r>
        <w:rPr>
          <w:sz w:val="24"/>
        </w:rPr>
        <w:t>4.不合格：运维服务质量考核在60分（不含）以下，扣除运维服务期满后的服务费且甲方有权没收履约保证金及单方面解除合同，由此产生的一切责任由乙方承担。</w:t>
      </w:r>
      <w:r>
        <w:br/>
      </w:r>
      <w:r>
        <w:rPr>
          <w:sz w:val="24"/>
        </w:rPr>
        <w:t>注：年度两次运维服务质量考核结果的平均值达到合格或以上并按</w:t>
      </w:r>
      <w:r>
        <w:rPr>
          <w:sz w:val="24"/>
        </w:rPr>
        <w:t>甲方</w:t>
      </w:r>
      <w:r>
        <w:rPr>
          <w:sz w:val="24"/>
        </w:rPr>
        <w:t>要求整改（如有）完毕则视为最终验收合格。</w:t>
      </w:r>
    </w:p>
    <w:p>
      <w:pPr>
        <w:pStyle w:val="null3"/>
        <w:jc w:val="both"/>
      </w:pPr>
      <w:r>
        <w:rPr>
          <w:sz w:val="24"/>
          <w:b/>
        </w:rPr>
        <w:t>二、产品及服务供应清单：</w:t>
      </w:r>
      <w:r>
        <w:rPr>
          <w:sz w:val="24"/>
        </w:rPr>
        <w:t>见附件一《报价清单明细表》。</w:t>
      </w:r>
    </w:p>
    <w:p>
      <w:pPr>
        <w:pStyle w:val="null3"/>
        <w:ind w:firstLine="482"/>
        <w:jc w:val="both"/>
      </w:pPr>
      <w:r>
        <w:rPr>
          <w:sz w:val="24"/>
          <w:b/>
        </w:rPr>
        <w:t>三、基本合同条款一览表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608"/>
        <w:gridCol w:w="1251"/>
        <w:gridCol w:w="6445"/>
      </w:tblGrid>
      <w:tr>
        <w:tc>
          <w:tcPr>
            <w:tcW w:type="dxa" w:w="608"/>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序号</w:t>
            </w:r>
          </w:p>
        </w:tc>
        <w:tc>
          <w:tcPr>
            <w:tcW w:type="dxa" w:w="1251"/>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合同条款</w:t>
            </w:r>
          </w:p>
        </w:tc>
        <w:tc>
          <w:tcPr>
            <w:tcW w:type="dxa" w:w="6445"/>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内容</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1.</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合同总额</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4"/>
              </w:rPr>
              <w:t>人民币：小写：</w:t>
            </w:r>
            <w:r>
              <w:rPr>
                <w:sz w:val="19"/>
                <w:u w:val="single"/>
              </w:rPr>
              <w:t xml:space="preserve">           </w:t>
            </w:r>
            <w:r>
              <w:rPr>
                <w:sz w:val="24"/>
              </w:rPr>
              <w:t xml:space="preserve"> </w:t>
            </w:r>
            <w:r>
              <w:rPr>
                <w:sz w:val="24"/>
              </w:rPr>
              <w:t>元；</w:t>
            </w:r>
          </w:p>
          <w:p>
            <w:pPr>
              <w:pStyle w:val="null3"/>
              <w:jc w:val="both"/>
            </w:pPr>
            <w:r>
              <w:rPr>
                <w:sz w:val="24"/>
              </w:rPr>
              <w:t>大写：</w:t>
            </w:r>
            <w:r>
              <w:rPr>
                <w:sz w:val="19"/>
                <w:u w:val="single"/>
              </w:rPr>
              <w:t xml:space="preserve">                 </w:t>
            </w:r>
            <w:r>
              <w:rPr>
                <w:sz w:val="24"/>
              </w:rPr>
              <w:t xml:space="preserve"> </w:t>
            </w:r>
            <w:r>
              <w:rPr>
                <w:sz w:val="24"/>
              </w:rPr>
              <w:t>元整。</w:t>
            </w:r>
            <w:r>
              <w:rPr>
                <w:sz w:val="19"/>
                <w:u w:val="single"/>
              </w:rPr>
              <w:t xml:space="preserve">           </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2.</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合同总额</w:t>
            </w:r>
          </w:p>
          <w:p>
            <w:pPr>
              <w:pStyle w:val="null3"/>
              <w:jc w:val="center"/>
            </w:pPr>
            <w:r>
              <w:rPr>
                <w:sz w:val="24"/>
                <w:b/>
              </w:rPr>
              <w:t>内容</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sz w:val="24"/>
              </w:rPr>
              <w:t>（</w:t>
            </w:r>
            <w:r>
              <w:rPr>
                <w:sz w:val="24"/>
              </w:rPr>
              <w:t>1）合同金额应包括但不限于人员实施费用、技术培训费，所有的税费、合同实施过程中的应预见和不可预见费用等。如果乙方在中标并签署合同后，在服务期内出现的任何遗漏，均由乙方负责，甲方将不再支付任何费用。</w:t>
            </w:r>
          </w:p>
          <w:p>
            <w:pPr>
              <w:pStyle w:val="null3"/>
              <w:jc w:val="both"/>
            </w:pPr>
            <w:r>
              <w:rPr>
                <w:sz w:val="24"/>
              </w:rPr>
              <w:t>（</w:t>
            </w:r>
            <w:r>
              <w:rPr>
                <w:sz w:val="24"/>
              </w:rPr>
              <w:t>2）项目合同金额应包含采购项目的全部费用，在合同期限内，项目服务费不以任何理由而增加。甲方按合同总额支付费用，并在服务期内对合同总额不作任何的调整。</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3.</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项目服务</w:t>
            </w:r>
          </w:p>
          <w:p>
            <w:pPr>
              <w:pStyle w:val="null3"/>
              <w:jc w:val="center"/>
            </w:pPr>
            <w:r>
              <w:rPr>
                <w:sz w:val="24"/>
                <w:b/>
              </w:rPr>
              <w:t>地点</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4"/>
              </w:rPr>
              <w:t>甲方（用户）指定地点。</w:t>
            </w:r>
          </w:p>
          <w:p>
            <w:pPr>
              <w:pStyle w:val="null3"/>
              <w:jc w:val="left"/>
            </w:pPr>
            <w:r>
              <w:rPr>
                <w:sz w:val="24"/>
              </w:rPr>
              <w:t>详细地址为：</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4.</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合同履行</w:t>
            </w:r>
          </w:p>
          <w:p>
            <w:pPr>
              <w:pStyle w:val="null3"/>
              <w:jc w:val="center"/>
            </w:pPr>
            <w:r>
              <w:rPr>
                <w:sz w:val="24"/>
                <w:b/>
              </w:rPr>
              <w:t>期限</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4"/>
              </w:rPr>
              <w:t>自签订合同之日起</w:t>
            </w:r>
            <w:r>
              <w:rPr>
                <w:sz w:val="24"/>
              </w:rPr>
              <w:t>200个工作日内系统开发部署完毕，并交付使用</w:t>
            </w:r>
            <w:r>
              <w:rPr>
                <w:sz w:val="24"/>
              </w:rPr>
              <w:t>。</w:t>
            </w:r>
            <w:r>
              <w:rPr>
                <w:sz w:val="24"/>
              </w:rPr>
              <w:t>系统正式上线</w:t>
            </w:r>
            <w:r>
              <w:rPr>
                <w:sz w:val="24"/>
              </w:rPr>
              <w:t>试</w:t>
            </w:r>
            <w:r>
              <w:rPr>
                <w:sz w:val="24"/>
              </w:rPr>
              <w:t>运行一个月后进行项目初步验收</w:t>
            </w:r>
            <w:r>
              <w:rPr>
                <w:sz w:val="24"/>
              </w:rPr>
              <w:t>。运维服务</w:t>
            </w:r>
            <w:r>
              <w:rPr>
                <w:sz w:val="24"/>
              </w:rPr>
              <w:t>期自</w:t>
            </w:r>
            <w:r>
              <w:rPr>
                <w:sz w:val="24"/>
              </w:rPr>
              <w:t>初步</w:t>
            </w:r>
            <w:r>
              <w:rPr>
                <w:sz w:val="24"/>
              </w:rPr>
              <w:t>验收</w:t>
            </w:r>
            <w:r>
              <w:rPr>
                <w:sz w:val="24"/>
              </w:rPr>
              <w:t>合格之日起一年。</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5.</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合同签订方式及情况</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4"/>
              </w:rPr>
              <w:t>□ 一次性签订本项目采购合同。</w:t>
            </w:r>
          </w:p>
          <w:p>
            <w:pPr>
              <w:pStyle w:val="null3"/>
              <w:jc w:val="both"/>
            </w:pPr>
            <w:r>
              <w:rPr>
                <w:sz w:val="24"/>
              </w:rPr>
              <w:t>□ 本项目分次签订合同，每次合同服务期为一年。本次情况如下：</w:t>
            </w:r>
          </w:p>
          <w:p>
            <w:pPr>
              <w:pStyle w:val="null3"/>
              <w:jc w:val="both"/>
            </w:pPr>
            <w:r>
              <w:rPr>
                <w:sz w:val="24"/>
              </w:rPr>
              <w:t>（</w:t>
            </w:r>
            <w:r>
              <w:rPr>
                <w:sz w:val="24"/>
              </w:rPr>
              <w:t>1）本次签订为第 次；</w:t>
            </w:r>
          </w:p>
          <w:p>
            <w:pPr>
              <w:pStyle w:val="null3"/>
              <w:jc w:val="both"/>
            </w:pPr>
            <w:r>
              <w:rPr>
                <w:sz w:val="24"/>
              </w:rPr>
              <w:t>（</w:t>
            </w:r>
            <w:r>
              <w:rPr>
                <w:sz w:val="24"/>
              </w:rPr>
              <w:t>2）本次合同金额为（大写）：元，</w:t>
            </w:r>
            <w:r>
              <w:rPr>
                <w:sz w:val="24"/>
                <w:u w:val="single"/>
              </w:rPr>
              <w:t>（￥</w:t>
            </w:r>
            <w:r>
              <w:rPr>
                <w:sz w:val="24"/>
                <w:u w:val="single"/>
              </w:rPr>
              <w:t xml:space="preserve">   </w:t>
            </w:r>
            <w:r>
              <w:rPr>
                <w:sz w:val="24"/>
                <w:u w:val="single"/>
              </w:rPr>
              <w:t>元）；</w:t>
            </w:r>
          </w:p>
          <w:p>
            <w:pPr>
              <w:pStyle w:val="null3"/>
              <w:jc w:val="both"/>
            </w:pPr>
            <w:r>
              <w:rPr>
                <w:sz w:val="24"/>
              </w:rPr>
              <w:t>（</w:t>
            </w:r>
            <w:r>
              <w:rPr>
                <w:sz w:val="24"/>
              </w:rPr>
              <w:t>3）本次服务期起止时间：  年 月日至 年 月 日</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6.</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付款方式</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4"/>
              </w:rPr>
              <w:t>1期：支付比例30%,</w:t>
            </w:r>
          </w:p>
          <w:p>
            <w:pPr>
              <w:pStyle w:val="null3"/>
              <w:jc w:val="both"/>
            </w:pPr>
            <w:r>
              <w:rPr>
                <w:sz w:val="24"/>
              </w:rPr>
              <w:t>合同签订后，</w:t>
            </w:r>
            <w:r>
              <w:rPr>
                <w:sz w:val="24"/>
              </w:rPr>
              <w:t>乙方</w:t>
            </w:r>
            <w:r>
              <w:rPr>
                <w:sz w:val="24"/>
              </w:rPr>
              <w:t>向</w:t>
            </w:r>
            <w:r>
              <w:rPr>
                <w:sz w:val="24"/>
              </w:rPr>
              <w:t>甲方</w:t>
            </w:r>
            <w:r>
              <w:rPr>
                <w:sz w:val="24"/>
              </w:rPr>
              <w:t>提供合同，</w:t>
            </w:r>
            <w:r>
              <w:rPr>
                <w:sz w:val="24"/>
              </w:rPr>
              <w:t>甲方</w:t>
            </w:r>
            <w:r>
              <w:rPr>
                <w:sz w:val="24"/>
              </w:rPr>
              <w:t>审核后向</w:t>
            </w:r>
            <w:r>
              <w:rPr>
                <w:sz w:val="24"/>
              </w:rPr>
              <w:t>乙方</w:t>
            </w:r>
            <w:r>
              <w:rPr>
                <w:sz w:val="24"/>
              </w:rPr>
              <w:t>支付合同金额的</w:t>
            </w:r>
            <w:r>
              <w:rPr>
                <w:sz w:val="24"/>
              </w:rPr>
              <w:t>30%作为预付款。</w:t>
            </w:r>
          </w:p>
          <w:p>
            <w:pPr>
              <w:pStyle w:val="null3"/>
              <w:jc w:val="both"/>
            </w:pPr>
            <w:r>
              <w:rPr>
                <w:sz w:val="24"/>
              </w:rPr>
              <w:t>2期：支付比例15%,</w:t>
            </w:r>
          </w:p>
          <w:p>
            <w:pPr>
              <w:pStyle w:val="null3"/>
              <w:jc w:val="both"/>
            </w:pPr>
            <w:r>
              <w:rPr>
                <w:sz w:val="24"/>
              </w:rPr>
              <w:t>乙方</w:t>
            </w:r>
            <w:r>
              <w:rPr>
                <w:sz w:val="24"/>
              </w:rPr>
              <w:t>进场</w:t>
            </w:r>
            <w:r>
              <w:rPr>
                <w:sz w:val="24"/>
              </w:rPr>
              <w:t>并</w:t>
            </w:r>
            <w:r>
              <w:rPr>
                <w:sz w:val="24"/>
              </w:rPr>
              <w:t>向</w:t>
            </w:r>
            <w:r>
              <w:rPr>
                <w:sz w:val="24"/>
              </w:rPr>
              <w:t>甲方</w:t>
            </w:r>
            <w:r>
              <w:rPr>
                <w:sz w:val="24"/>
              </w:rPr>
              <w:t>提供</w:t>
            </w:r>
            <w:r>
              <w:rPr>
                <w:sz w:val="24"/>
              </w:rPr>
              <w:t>项目实施方案</w:t>
            </w:r>
            <w:r>
              <w:rPr>
                <w:sz w:val="24"/>
              </w:rPr>
              <w:t>和</w:t>
            </w:r>
            <w:r>
              <w:rPr>
                <w:sz w:val="24"/>
              </w:rPr>
              <w:t>进场人员明细表</w:t>
            </w:r>
            <w:r>
              <w:rPr>
                <w:sz w:val="24"/>
              </w:rPr>
              <w:t>，</w:t>
            </w:r>
            <w:r>
              <w:rPr>
                <w:sz w:val="24"/>
              </w:rPr>
              <w:t>甲方</w:t>
            </w:r>
            <w:r>
              <w:rPr>
                <w:sz w:val="24"/>
              </w:rPr>
              <w:t>审核后向</w:t>
            </w:r>
            <w:r>
              <w:rPr>
                <w:sz w:val="24"/>
              </w:rPr>
              <w:t>乙方</w:t>
            </w:r>
            <w:r>
              <w:rPr>
                <w:sz w:val="24"/>
              </w:rPr>
              <w:t>支付合同金额的</w:t>
            </w:r>
            <w:r>
              <w:rPr>
                <w:sz w:val="24"/>
              </w:rPr>
              <w:t>15%。</w:t>
            </w:r>
          </w:p>
          <w:p>
            <w:pPr>
              <w:pStyle w:val="null3"/>
              <w:jc w:val="both"/>
            </w:pPr>
            <w:r>
              <w:rPr>
                <w:sz w:val="24"/>
              </w:rPr>
              <w:t>3期：支付比例30%,</w:t>
            </w:r>
          </w:p>
          <w:p>
            <w:pPr>
              <w:pStyle w:val="null3"/>
              <w:jc w:val="both"/>
            </w:pPr>
            <w:r>
              <w:rPr>
                <w:sz w:val="24"/>
              </w:rPr>
              <w:t>系统完成整体部署，正式上线</w:t>
            </w:r>
            <w:r>
              <w:rPr>
                <w:sz w:val="24"/>
              </w:rPr>
              <w:t>后</w:t>
            </w:r>
            <w:r>
              <w:rPr>
                <w:sz w:val="24"/>
              </w:rPr>
              <w:t>并交付对应文档后，</w:t>
            </w:r>
            <w:r>
              <w:rPr>
                <w:sz w:val="24"/>
              </w:rPr>
              <w:t>乙方</w:t>
            </w:r>
            <w:r>
              <w:rPr>
                <w:sz w:val="24"/>
              </w:rPr>
              <w:t>向</w:t>
            </w:r>
            <w:r>
              <w:rPr>
                <w:sz w:val="24"/>
              </w:rPr>
              <w:t>甲方</w:t>
            </w:r>
            <w:r>
              <w:rPr>
                <w:sz w:val="24"/>
              </w:rPr>
              <w:t>提供文档交付申请单，</w:t>
            </w:r>
            <w:r>
              <w:rPr>
                <w:sz w:val="24"/>
              </w:rPr>
              <w:t>甲方</w:t>
            </w:r>
            <w:r>
              <w:rPr>
                <w:sz w:val="24"/>
              </w:rPr>
              <w:t>审核后向</w:t>
            </w:r>
            <w:r>
              <w:rPr>
                <w:sz w:val="24"/>
              </w:rPr>
              <w:t>乙方</w:t>
            </w:r>
            <w:r>
              <w:rPr>
                <w:sz w:val="24"/>
              </w:rPr>
              <w:t>支付合同金额的</w:t>
            </w:r>
            <w:r>
              <w:rPr>
                <w:sz w:val="24"/>
              </w:rPr>
              <w:t>30%。</w:t>
            </w:r>
          </w:p>
          <w:p>
            <w:pPr>
              <w:pStyle w:val="null3"/>
              <w:jc w:val="both"/>
            </w:pPr>
            <w:r>
              <w:rPr>
                <w:sz w:val="24"/>
              </w:rPr>
              <w:t>4期：支付比例15%,</w:t>
            </w:r>
          </w:p>
          <w:p>
            <w:pPr>
              <w:pStyle w:val="null3"/>
              <w:jc w:val="both"/>
            </w:pPr>
            <w:r>
              <w:rPr>
                <w:sz w:val="24"/>
              </w:rPr>
              <w:t>当</w:t>
            </w:r>
            <w:r>
              <w:rPr>
                <w:sz w:val="24"/>
              </w:rPr>
              <w:t>乙方</w:t>
            </w:r>
            <w:r>
              <w:rPr>
                <w:sz w:val="24"/>
              </w:rPr>
              <w:t>的产品在</w:t>
            </w:r>
            <w:r>
              <w:rPr>
                <w:sz w:val="24"/>
              </w:rPr>
              <w:t>甲方</w:t>
            </w:r>
            <w:r>
              <w:rPr>
                <w:sz w:val="24"/>
              </w:rPr>
              <w:t>指定的系统正式上线</w:t>
            </w:r>
            <w:r>
              <w:rPr>
                <w:sz w:val="24"/>
              </w:rPr>
              <w:t>试</w:t>
            </w:r>
            <w:r>
              <w:rPr>
                <w:sz w:val="24"/>
              </w:rPr>
              <w:t>运行一个月后进行项目初步验收，初步验收合格后，</w:t>
            </w:r>
            <w:r>
              <w:rPr>
                <w:sz w:val="24"/>
              </w:rPr>
              <w:t>乙方</w:t>
            </w:r>
            <w:r>
              <w:rPr>
                <w:sz w:val="24"/>
              </w:rPr>
              <w:t>向</w:t>
            </w:r>
            <w:r>
              <w:rPr>
                <w:sz w:val="24"/>
              </w:rPr>
              <w:t>甲方</w:t>
            </w:r>
            <w:r>
              <w:rPr>
                <w:sz w:val="24"/>
              </w:rPr>
              <w:t>提供</w:t>
            </w:r>
            <w:r>
              <w:rPr>
                <w:sz w:val="24"/>
              </w:rPr>
              <w:t>试</w:t>
            </w:r>
            <w:r>
              <w:rPr>
                <w:sz w:val="24"/>
              </w:rPr>
              <w:t>运行申请单、初步验收报告，</w:t>
            </w:r>
            <w:r>
              <w:rPr>
                <w:sz w:val="24"/>
              </w:rPr>
              <w:t>甲方</w:t>
            </w:r>
            <w:r>
              <w:rPr>
                <w:sz w:val="24"/>
              </w:rPr>
              <w:t>审核后向</w:t>
            </w:r>
            <w:r>
              <w:rPr>
                <w:sz w:val="24"/>
              </w:rPr>
              <w:t>乙方</w:t>
            </w:r>
            <w:r>
              <w:rPr>
                <w:sz w:val="24"/>
              </w:rPr>
              <w:t>支付合同金额的</w:t>
            </w:r>
            <w:r>
              <w:rPr>
                <w:sz w:val="24"/>
              </w:rPr>
              <w:t>15%。</w:t>
            </w:r>
          </w:p>
          <w:p>
            <w:pPr>
              <w:pStyle w:val="null3"/>
              <w:jc w:val="both"/>
            </w:pPr>
            <w:r>
              <w:rPr>
                <w:sz w:val="24"/>
              </w:rPr>
              <w:t>5期：支付比例10%,</w:t>
            </w:r>
          </w:p>
          <w:p>
            <w:pPr>
              <w:pStyle w:val="null3"/>
              <w:jc w:val="both"/>
            </w:pPr>
            <w:r>
              <w:rPr>
                <w:sz w:val="24"/>
              </w:rPr>
              <w:t>系统</w:t>
            </w:r>
            <w:r>
              <w:rPr>
                <w:sz w:val="24"/>
              </w:rPr>
              <w:t>运维服务期</w:t>
            </w:r>
            <w:r>
              <w:rPr>
                <w:sz w:val="24"/>
              </w:rPr>
              <w:t>结束后</w:t>
            </w:r>
            <w:r>
              <w:rPr>
                <w:sz w:val="24"/>
              </w:rPr>
              <w:t>，</w:t>
            </w:r>
            <w:r>
              <w:rPr>
                <w:sz w:val="24"/>
              </w:rPr>
              <w:t>乙方</w:t>
            </w:r>
            <w:r>
              <w:rPr>
                <w:sz w:val="24"/>
              </w:rPr>
              <w:t>向</w:t>
            </w:r>
            <w:r>
              <w:rPr>
                <w:sz w:val="24"/>
              </w:rPr>
              <w:t>甲方</w:t>
            </w:r>
            <w:r>
              <w:rPr>
                <w:sz w:val="24"/>
              </w:rPr>
              <w:t>提供运维服务质量考核表和最终验收报告</w:t>
            </w:r>
            <w:r>
              <w:rPr>
                <w:sz w:val="24"/>
              </w:rPr>
              <w:t>，</w:t>
            </w:r>
            <w:r>
              <w:rPr>
                <w:sz w:val="24"/>
              </w:rPr>
              <w:t>甲方</w:t>
            </w:r>
            <w:r>
              <w:rPr>
                <w:sz w:val="24"/>
              </w:rPr>
              <w:t>审核后向</w:t>
            </w:r>
            <w:r>
              <w:rPr>
                <w:sz w:val="24"/>
              </w:rPr>
              <w:t>乙方</w:t>
            </w:r>
            <w:r>
              <w:rPr>
                <w:sz w:val="24"/>
              </w:rPr>
              <w:t>支付合同金额的</w:t>
            </w:r>
            <w:r>
              <w:rPr>
                <w:sz w:val="24"/>
              </w:rPr>
              <w:t>10%。</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7.</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付款要求</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4"/>
              </w:rPr>
              <w:t>1.每期款项需经甲方确认后进行支付。2.本项目合同的每笔款项以人民币支票或银行汇款方式支付，根据项目的完成情况，甲方按上述时间节点支付对应款项。甲方每次付款前，乙方必须出具合规的等额增值税发票等凭证资料。</w:t>
            </w:r>
            <w:r>
              <w:rPr>
                <w:sz w:val="24"/>
              </w:rPr>
              <w:t>如发生考核扣罚或违约金</w:t>
            </w:r>
            <w:r>
              <w:rPr>
                <w:sz w:val="24"/>
              </w:rPr>
              <w:t>甲方</w:t>
            </w:r>
            <w:r>
              <w:rPr>
                <w:sz w:val="24"/>
              </w:rPr>
              <w:t>有权在上述支付款项中扣除相应金额后再支付。</w:t>
            </w:r>
            <w:r>
              <w:rPr>
                <w:sz w:val="24"/>
              </w:rPr>
              <w:t>收款方、出具发票方均必须与合同乙方名称一致。</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8.</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履约保证金</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sz w:val="24"/>
              </w:rPr>
              <w:t>交纳比例：</w:t>
            </w:r>
            <w:r>
              <w:rPr>
                <w:sz w:val="24"/>
              </w:rPr>
              <w:t>1%</w:t>
            </w:r>
          </w:p>
          <w:p>
            <w:pPr>
              <w:pStyle w:val="null3"/>
            </w:pPr>
            <w:r>
              <w:rPr>
                <w:sz w:val="24"/>
              </w:rPr>
              <w:t>缴费渠道：电子保函（保险）、支票（本票、汇票）、其他</w:t>
            </w:r>
          </w:p>
          <w:p>
            <w:pPr>
              <w:pStyle w:val="null3"/>
            </w:pPr>
            <w:r>
              <w:rPr>
                <w:sz w:val="24"/>
              </w:rPr>
              <w:t>账号：</w:t>
            </w:r>
            <w:r>
              <w:rPr>
                <w:sz w:val="24"/>
              </w:rPr>
              <w:t>695173644709</w:t>
            </w:r>
          </w:p>
          <w:p>
            <w:pPr>
              <w:pStyle w:val="null3"/>
            </w:pPr>
            <w:r>
              <w:rPr>
                <w:sz w:val="24"/>
              </w:rPr>
              <w:t>户名：佛山市南海区第五人民医院</w:t>
            </w:r>
          </w:p>
          <w:p>
            <w:pPr>
              <w:pStyle w:val="null3"/>
            </w:pPr>
            <w:r>
              <w:rPr>
                <w:sz w:val="24"/>
              </w:rPr>
              <w:t>开户行：中国银行佛山南海大沥支行</w:t>
            </w:r>
          </w:p>
          <w:p>
            <w:pPr>
              <w:pStyle w:val="null3"/>
            </w:pPr>
            <w:r>
              <w:rPr>
                <w:sz w:val="24"/>
              </w:rPr>
              <w:t>支票提交方式：票据方式提交</w:t>
            </w:r>
          </w:p>
          <w:p>
            <w:pPr>
              <w:pStyle w:val="null3"/>
            </w:pPr>
            <w:r>
              <w:rPr>
                <w:sz w:val="24"/>
              </w:rPr>
              <w:t>汇票、本票提交方式：票据方式提交</w:t>
            </w:r>
          </w:p>
          <w:p>
            <w:pPr>
              <w:pStyle w:val="null3"/>
            </w:pPr>
            <w:r>
              <w:rPr>
                <w:sz w:val="24"/>
              </w:rPr>
              <w:t>说明：（</w:t>
            </w:r>
            <w:r>
              <w:rPr>
                <w:sz w:val="24"/>
              </w:rPr>
              <w:t>1）乙方于合同签订后7个工作日内以支票、汇票、本票、银行转账或者金融机构、担保机构出具的保函等非现金形式向甲方提交合同金额的1%作为履约保证金。</w:t>
            </w:r>
          </w:p>
          <w:p>
            <w:pPr>
              <w:pStyle w:val="null3"/>
            </w:pPr>
            <w:r>
              <w:rPr>
                <w:sz w:val="24"/>
              </w:rPr>
              <w:t>（</w:t>
            </w:r>
            <w:r>
              <w:rPr>
                <w:sz w:val="24"/>
              </w:rPr>
              <w:t>2）在乙方按合同要求全部完成，收到相关资料后30日内，如乙方无违约行为，甲方应将履约保证金无息全额退还给乙方。合同因乙方原因产生违约，导致合同无法继续执行的情况，履约保证金不予退还。</w:t>
            </w:r>
          </w:p>
          <w:p>
            <w:pPr>
              <w:pStyle w:val="null3"/>
            </w:pPr>
            <w:r>
              <w:rPr>
                <w:sz w:val="24"/>
              </w:rPr>
              <w:t>（</w:t>
            </w:r>
            <w:r>
              <w:rPr>
                <w:sz w:val="24"/>
              </w:rPr>
              <w:t>3）履约保证金以保函形式递交的，被没收履约保证金后或合同期间保函失效的，乙方须重新开具提交给甲方，且履约保函的有效期须涵盖本项目合同履行期结束。</w:t>
            </w:r>
          </w:p>
          <w:p>
            <w:pPr>
              <w:pStyle w:val="null3"/>
            </w:pPr>
            <w:r>
              <w:rPr>
                <w:sz w:val="24"/>
              </w:rPr>
              <w:t>（</w:t>
            </w:r>
            <w:r>
              <w:rPr>
                <w:sz w:val="24"/>
              </w:rPr>
              <w:t>4）如在合同履行期间，履约保证金如有发生被甲方扣减的，乙方须在自扣减之日起10天内补齐履约保证金的金额，否则，视乙方违约，甲方有权单方面解除合同并有权要求乙方作出赔偿。</w:t>
            </w:r>
          </w:p>
          <w:p>
            <w:pPr>
              <w:pStyle w:val="null3"/>
            </w:pPr>
            <w:r>
              <w:rPr>
                <w:sz w:val="24"/>
              </w:rPr>
              <w:t>注：上述保函是指不可撤销、不可转让的见索即付独立保函。</w:t>
            </w:r>
          </w:p>
          <w:p>
            <w:pPr>
              <w:pStyle w:val="null3"/>
              <w:jc w:val="left"/>
            </w:pPr>
            <w:r>
              <w:rPr>
                <w:sz w:val="24"/>
              </w:rPr>
              <w:t>履约保证金可以以履约保函（保险）形式提供，目前</w:t>
            </w:r>
            <w:r>
              <w:rPr>
                <w:sz w:val="24"/>
              </w:rPr>
              <w:t>"广东政府采购智慧云平台金融服务中心(https://gdgpo.czt.gd.gov.cn/zcdservice/zcd/guangdong/)已实现电子履约保函（保险）在线办理功能，有意愿供应商可自行办理提供。</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9.</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试运行</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4"/>
              </w:rPr>
              <w:t>（</w:t>
            </w:r>
            <w:r>
              <w:rPr>
                <w:sz w:val="24"/>
              </w:rPr>
              <w:t>1</w:t>
            </w:r>
            <w:r>
              <w:rPr>
                <w:sz w:val="24"/>
              </w:rPr>
              <w:t>）</w:t>
            </w:r>
            <w:r>
              <w:rPr>
                <w:sz w:val="24"/>
              </w:rPr>
              <w:t>试运行期</w:t>
            </w:r>
            <w:r>
              <w:rPr>
                <w:sz w:val="24"/>
              </w:rPr>
              <w:t>自系统完成部署并交付使用正式上线之日起</w:t>
            </w:r>
            <w:r>
              <w:rPr>
                <w:sz w:val="24"/>
              </w:rPr>
              <w:t>1个月。</w:t>
            </w:r>
            <w:r>
              <w:rPr>
                <w:sz w:val="24"/>
              </w:rPr>
              <w:t>试运行期</w:t>
            </w:r>
            <w:r>
              <w:rPr>
                <w:sz w:val="24"/>
              </w:rPr>
              <w:t>内</w:t>
            </w:r>
            <w:r>
              <w:rPr>
                <w:sz w:val="24"/>
              </w:rPr>
              <w:t>，</w:t>
            </w:r>
            <w:r>
              <w:rPr>
                <w:sz w:val="24"/>
              </w:rPr>
              <w:t>系统出现的所有问题，</w:t>
            </w:r>
            <w:r>
              <w:rPr>
                <w:sz w:val="24"/>
              </w:rPr>
              <w:t>乙方</w:t>
            </w:r>
            <w:r>
              <w:rPr>
                <w:sz w:val="24"/>
              </w:rPr>
              <w:t>须</w:t>
            </w:r>
            <w:r>
              <w:rPr>
                <w:sz w:val="24"/>
              </w:rPr>
              <w:t>及时解决、调整并做好记录，此记录将作为</w:t>
            </w:r>
            <w:r>
              <w:rPr>
                <w:sz w:val="24"/>
              </w:rPr>
              <w:t>初步</w:t>
            </w:r>
            <w:r>
              <w:rPr>
                <w:sz w:val="24"/>
              </w:rPr>
              <w:t>验收的依据之一</w:t>
            </w:r>
            <w:r>
              <w:rPr>
                <w:sz w:val="24"/>
              </w:rPr>
              <w:t>。试运行期结束，如系统没有发生较大问题</w:t>
            </w:r>
            <w:r>
              <w:rPr>
                <w:sz w:val="24"/>
              </w:rPr>
              <w:t>(不影响系统使用)，视为初步验收合格;如系统仍有较大问题(影响系统正常使用)未解决，</w:t>
            </w:r>
            <w:r>
              <w:rPr>
                <w:sz w:val="24"/>
              </w:rPr>
              <w:t>甲方</w:t>
            </w:r>
            <w:r>
              <w:rPr>
                <w:sz w:val="24"/>
              </w:rPr>
              <w:t>有权终止合同，并要求</w:t>
            </w:r>
            <w:r>
              <w:rPr>
                <w:sz w:val="24"/>
              </w:rPr>
              <w:t>乙方</w:t>
            </w:r>
            <w:r>
              <w:rPr>
                <w:sz w:val="24"/>
              </w:rPr>
              <w:t>赔偿损失。</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10</w:t>
            </w:r>
            <w:r>
              <w:rPr>
                <w:sz w:val="24"/>
                <w:b/>
              </w:rPr>
              <w:t>.</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运维</w:t>
            </w:r>
            <w:r>
              <w:rPr>
                <w:sz w:val="24"/>
                <w:b/>
              </w:rPr>
              <w:t>服务要求</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4"/>
              </w:rPr>
              <w:t>（</w:t>
            </w:r>
            <w:r>
              <w:rPr>
                <w:sz w:val="24"/>
              </w:rPr>
              <w:t>1）</w:t>
            </w:r>
            <w:r>
              <w:rPr>
                <w:sz w:val="24"/>
              </w:rPr>
              <w:t>运维服务</w:t>
            </w:r>
            <w:r>
              <w:rPr>
                <w:sz w:val="24"/>
              </w:rPr>
              <w:t>期</w:t>
            </w:r>
            <w:r>
              <w:rPr>
                <w:sz w:val="24"/>
              </w:rPr>
              <w:t>：</w:t>
            </w:r>
            <w:r>
              <w:rPr>
                <w:sz w:val="24"/>
              </w:rPr>
              <w:t>自</w:t>
            </w:r>
            <w:r>
              <w:rPr>
                <w:sz w:val="24"/>
              </w:rPr>
              <w:t>初步</w:t>
            </w:r>
            <w:r>
              <w:rPr>
                <w:sz w:val="24"/>
              </w:rPr>
              <w:t>验收</w:t>
            </w:r>
            <w:r>
              <w:rPr>
                <w:sz w:val="24"/>
              </w:rPr>
              <w:t>合格之日起一年。</w:t>
            </w:r>
            <w:r>
              <w:rPr>
                <w:sz w:val="19"/>
              </w:rPr>
              <w:t xml:space="preserve"> </w:t>
            </w:r>
            <w:r>
              <w:rPr>
                <w:sz w:val="24"/>
              </w:rPr>
              <w:t>运维服务</w:t>
            </w:r>
            <w:r>
              <w:rPr>
                <w:sz w:val="24"/>
              </w:rPr>
              <w:t>期</w:t>
            </w:r>
            <w:r>
              <w:rPr>
                <w:sz w:val="24"/>
              </w:rPr>
              <w:t>满后为有偿维护，每年维护费用收取标准不超过合同金额的</w:t>
            </w:r>
            <w:r>
              <w:rPr>
                <w:sz w:val="24"/>
              </w:rPr>
              <w:t>10%；</w:t>
            </w:r>
          </w:p>
          <w:p>
            <w:pPr>
              <w:pStyle w:val="null3"/>
              <w:jc w:val="left"/>
            </w:pPr>
            <w:r>
              <w:rPr>
                <w:sz w:val="24"/>
              </w:rPr>
              <w:t>（</w:t>
            </w:r>
            <w:r>
              <w:rPr>
                <w:sz w:val="24"/>
              </w:rPr>
              <w:t>2）故障响应：</w:t>
            </w:r>
            <w:r>
              <w:rPr>
                <w:sz w:val="24"/>
              </w:rPr>
              <w:t>运维服务</w:t>
            </w:r>
            <w:r>
              <w:rPr>
                <w:sz w:val="24"/>
              </w:rPr>
              <w:t>期内，在接到甲方的服务要求通知后，</w:t>
            </w:r>
            <w:r>
              <w:rPr>
                <w:sz w:val="24"/>
              </w:rPr>
              <w:t>10分钟内给予甲方明确答复，售后服务人员将在2小时内进行在线和远程技术支持。一般问题2小时内解决；较大问题在4小时以内解决；重大问题4小时内提出解决方案，并在24小时内解决。</w:t>
            </w:r>
            <w:r>
              <w:br/>
            </w:r>
            <w:r>
              <w:rPr>
                <w:sz w:val="24"/>
              </w:rPr>
              <w:t>（</w:t>
            </w:r>
            <w:r>
              <w:rPr>
                <w:sz w:val="24"/>
              </w:rPr>
              <w:t>3</w:t>
            </w:r>
            <w:r>
              <w:rPr>
                <w:sz w:val="24"/>
              </w:rPr>
              <w:t>）</w:t>
            </w:r>
            <w:r>
              <w:rPr>
                <w:sz w:val="24"/>
              </w:rPr>
              <w:t>运维服务：每</w:t>
            </w:r>
            <w:r>
              <w:rPr>
                <w:sz w:val="24"/>
              </w:rPr>
              <w:t>6个月提供一次上门运维巡检服务，巡检内容包括对本项目所涉及的系统设备进行巡检，形成巡检报告，保证系统运行正常。</w:t>
            </w:r>
          </w:p>
          <w:p>
            <w:pPr>
              <w:pStyle w:val="null3"/>
              <w:jc w:val="left"/>
            </w:pPr>
            <w:r>
              <w:rPr>
                <w:sz w:val="24"/>
              </w:rPr>
              <w:t>（</w:t>
            </w:r>
            <w:r>
              <w:rPr>
                <w:sz w:val="24"/>
              </w:rPr>
              <w:t>4</w:t>
            </w:r>
            <w:r>
              <w:rPr>
                <w:sz w:val="24"/>
              </w:rPr>
              <w:t>）技术培训：提供不少于</w:t>
            </w:r>
            <w:r>
              <w:rPr>
                <w:sz w:val="24"/>
              </w:rPr>
              <w:t>4次的人员的培训，包括但不限于操作培训、面对面培训、保养培训和维修培训，并提供对部分甲方操作人员简单故障排除方法的培训。同时提供书面承诺和培训方案，并对相关技术问题进行充分交流，使甲方操作人员能熟练使用现有系统；培训操作人员至熟悉为止。</w:t>
            </w:r>
          </w:p>
          <w:p>
            <w:pPr>
              <w:pStyle w:val="null3"/>
              <w:jc w:val="left"/>
            </w:pPr>
            <w:r>
              <w:rPr>
                <w:sz w:val="24"/>
              </w:rPr>
              <w:t>（</w:t>
            </w:r>
            <w:r>
              <w:rPr>
                <w:sz w:val="24"/>
              </w:rPr>
              <w:t>5</w:t>
            </w:r>
            <w:r>
              <w:rPr>
                <w:sz w:val="24"/>
              </w:rPr>
              <w:t>）信息安全保证：系统的安全性和保密性必须严格遵循相关信息安全标准，切实保证在系统使用的各个环节均能最大限度保障信息安全，杜绝各类漏洞及错误的出现。</w:t>
            </w:r>
          </w:p>
          <w:p>
            <w:pPr>
              <w:pStyle w:val="null3"/>
              <w:jc w:val="left"/>
            </w:pPr>
            <w:r>
              <w:rPr>
                <w:sz w:val="24"/>
              </w:rPr>
              <w:t>（</w:t>
            </w:r>
            <w:r>
              <w:rPr>
                <w:sz w:val="24"/>
              </w:rPr>
              <w:t>6</w:t>
            </w:r>
            <w:r>
              <w:rPr>
                <w:sz w:val="24"/>
              </w:rPr>
              <w:t>）</w:t>
            </w:r>
            <w:r>
              <w:rPr>
                <w:sz w:val="24"/>
              </w:rPr>
              <w:t>运维服务：运维服务期内，乙方需提供全面的运维服务，包括但不限于系统日常运行监控、定期巡检、性能优化、数据备份与恢复等，确保系统持续稳定、高效运行。乙方应每</w:t>
            </w:r>
            <w:r>
              <w:rPr>
                <w:sz w:val="24"/>
              </w:rPr>
              <w:t>6个月提供系统运行状态报告，并在发生潜在风险时及时预警和处置，保障甲方业务正常开展。</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1</w:t>
            </w:r>
            <w:r>
              <w:rPr>
                <w:sz w:val="24"/>
                <w:b/>
              </w:rPr>
              <w:t>1</w:t>
            </w:r>
            <w:r>
              <w:rPr>
                <w:sz w:val="24"/>
                <w:b/>
              </w:rPr>
              <w:t>.</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项目文档与交付要求</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sz w:val="24"/>
              </w:rPr>
              <w:t>乙方需根据实施进度及时提供相应的过程及成果文档，包括但不限于：</w:t>
            </w:r>
          </w:p>
          <w:p>
            <w:pPr>
              <w:pStyle w:val="null3"/>
            </w:pPr>
            <w:r>
              <w:rPr>
                <w:sz w:val="24"/>
              </w:rPr>
              <w:t>（</w:t>
            </w:r>
            <w:r>
              <w:rPr>
                <w:sz w:val="24"/>
              </w:rPr>
              <w:t>1）启动阶段：《项目实施方案》等；</w:t>
            </w:r>
          </w:p>
          <w:p>
            <w:pPr>
              <w:pStyle w:val="null3"/>
            </w:pPr>
            <w:r>
              <w:rPr>
                <w:sz w:val="24"/>
              </w:rPr>
              <w:t>（</w:t>
            </w:r>
            <w:r>
              <w:rPr>
                <w:sz w:val="24"/>
              </w:rPr>
              <w:t>2）需求分析阶段：《需求说明书》等；</w:t>
            </w:r>
          </w:p>
          <w:p>
            <w:pPr>
              <w:pStyle w:val="null3"/>
            </w:pPr>
            <w:r>
              <w:rPr>
                <w:sz w:val="24"/>
              </w:rPr>
              <w:t>（</w:t>
            </w:r>
            <w:r>
              <w:rPr>
                <w:sz w:val="24"/>
              </w:rPr>
              <w:t>3）设计阶段：《系统概要设计说明书》 《系统详细设计说明书》 《数据库设计说明书》等；</w:t>
            </w:r>
          </w:p>
          <w:p>
            <w:pPr>
              <w:pStyle w:val="null3"/>
            </w:pPr>
            <w:r>
              <w:rPr>
                <w:sz w:val="24"/>
              </w:rPr>
              <w:t>（</w:t>
            </w:r>
            <w:r>
              <w:rPr>
                <w:sz w:val="24"/>
              </w:rPr>
              <w:t>4）测试阶段：《测试计划》 《测试分析报告》等；</w:t>
            </w:r>
          </w:p>
          <w:p>
            <w:pPr>
              <w:pStyle w:val="null3"/>
            </w:pPr>
            <w:r>
              <w:rPr>
                <w:sz w:val="24"/>
              </w:rPr>
              <w:t>（</w:t>
            </w:r>
            <w:r>
              <w:rPr>
                <w:sz w:val="24"/>
              </w:rPr>
              <w:t>5）试运行阶段：《试运行计划》 《试运行报告》等；</w:t>
            </w:r>
          </w:p>
          <w:p>
            <w:pPr>
              <w:pStyle w:val="null3"/>
            </w:pPr>
            <w:r>
              <w:rPr>
                <w:sz w:val="24"/>
              </w:rPr>
              <w:t>（</w:t>
            </w:r>
            <w:r>
              <w:rPr>
                <w:sz w:val="24"/>
              </w:rPr>
              <w:t>6）过程文档：《会议纪要》 《实施周报》 《项目进度月报》等；</w:t>
            </w:r>
          </w:p>
          <w:p>
            <w:pPr>
              <w:pStyle w:val="null3"/>
            </w:pPr>
            <w:r>
              <w:rPr>
                <w:sz w:val="24"/>
              </w:rPr>
              <w:t>（</w:t>
            </w:r>
            <w:r>
              <w:rPr>
                <w:sz w:val="24"/>
              </w:rPr>
              <w:t>7）交付使用：《用户操作手册》 《系统管理员手册》 《系统安装维护手册》（包括系统配置手册、系统参数列表）、《培训手册》 《系统安全响应应急预案》等；</w:t>
            </w:r>
          </w:p>
          <w:p>
            <w:pPr>
              <w:pStyle w:val="null3"/>
            </w:pPr>
            <w:r>
              <w:rPr>
                <w:sz w:val="24"/>
              </w:rPr>
              <w:t>（</w:t>
            </w:r>
            <w:r>
              <w:rPr>
                <w:sz w:val="24"/>
              </w:rPr>
              <w:t>8）项目合同期内乙方需配置相关专业人员配合甲方编制和印发与本项目相关的汇报、宣传等材料，做好相应的宣传工作。</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1</w:t>
            </w:r>
            <w:r>
              <w:rPr>
                <w:sz w:val="24"/>
                <w:b/>
              </w:rPr>
              <w:t>2</w:t>
            </w:r>
            <w:r>
              <w:rPr>
                <w:sz w:val="24"/>
                <w:b/>
              </w:rPr>
              <w:t>.</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实施规范要求</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sz w:val="24"/>
              </w:rPr>
              <w:t>（</w:t>
            </w:r>
            <w:r>
              <w:rPr>
                <w:sz w:val="24"/>
              </w:rPr>
              <w:t>1）服从甲方对建设过程及建设质量、进度等方面的监督和规范管理；</w:t>
            </w:r>
          </w:p>
          <w:p>
            <w:pPr>
              <w:pStyle w:val="null3"/>
            </w:pPr>
            <w:r>
              <w:rPr>
                <w:sz w:val="24"/>
              </w:rPr>
              <w:t>（</w:t>
            </w:r>
            <w:r>
              <w:rPr>
                <w:sz w:val="24"/>
              </w:rPr>
              <w:t>2）严格遵循甲方的相关要求，包括遵循甲方发出的工作联系单、监理通知单等监理指令，甲方将全力支持乙方对系统标准规范、项目工作界面和配合要求等方面的理解和实施；</w:t>
            </w:r>
          </w:p>
          <w:p>
            <w:pPr>
              <w:pStyle w:val="null3"/>
            </w:pPr>
            <w:r>
              <w:rPr>
                <w:sz w:val="24"/>
              </w:rPr>
              <w:t>（</w:t>
            </w:r>
            <w:r>
              <w:rPr>
                <w:sz w:val="24"/>
              </w:rPr>
              <w:t>3）正式启动项目前，须提交项目组织结构、项目计划和实施方案报甲方位审核，审批通过，才能申请开工实施；</w:t>
            </w:r>
          </w:p>
          <w:p>
            <w:pPr>
              <w:pStyle w:val="null3"/>
            </w:pPr>
            <w:r>
              <w:rPr>
                <w:sz w:val="24"/>
              </w:rPr>
              <w:t>（</w:t>
            </w:r>
            <w:r>
              <w:rPr>
                <w:sz w:val="24"/>
              </w:rPr>
              <w:t>4）按照项目阶段和进度要求及时向甲方报审各项目文档，经审批通过后才能按项目文档执行实施；</w:t>
            </w:r>
          </w:p>
        </w:tc>
      </w:tr>
      <w:tr>
        <w:tc>
          <w:tcPr>
            <w:tcW w:type="dxa" w:w="60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1</w:t>
            </w:r>
            <w:r>
              <w:rPr>
                <w:sz w:val="24"/>
                <w:b/>
              </w:rPr>
              <w:t>3</w:t>
            </w:r>
            <w:r>
              <w:rPr>
                <w:sz w:val="24"/>
                <w:b/>
              </w:rPr>
              <w:t>.</w:t>
            </w:r>
          </w:p>
        </w:tc>
        <w:tc>
          <w:tcPr>
            <w:tcW w:type="dxa" w:w="12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免责条款</w:t>
            </w:r>
          </w:p>
        </w:tc>
        <w:tc>
          <w:tcPr>
            <w:tcW w:type="dxa" w:w="644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sz w:val="24"/>
              </w:rPr>
              <w:t>乙方实施人员在甲方进行项目实施过程中，出现任何非甲方原因而造成的财产损失、人身伤害或意外等事件，其事件结果均应由乙方全权承担。</w:t>
            </w:r>
          </w:p>
        </w:tc>
      </w:tr>
    </w:tbl>
    <w:p>
      <w:pPr>
        <w:pStyle w:val="null3"/>
        <w:ind w:firstLine="482"/>
        <w:jc w:val="both"/>
      </w:pPr>
      <w:r>
        <w:rPr>
          <w:sz w:val="24"/>
          <w:b/>
        </w:rPr>
        <w:t>四、服务对照执行标准：</w:t>
      </w:r>
    </w:p>
    <w:p>
      <w:pPr>
        <w:pStyle w:val="null3"/>
        <w:ind w:firstLine="480"/>
        <w:jc w:val="both"/>
      </w:pPr>
      <w:r>
        <w:rPr>
          <w:sz w:val="24"/>
        </w:rPr>
        <w:t>1.符合中华人民共和国国家和履约地相关安全质量标准、行业技术规范标准；</w:t>
      </w:r>
    </w:p>
    <w:p>
      <w:pPr>
        <w:pStyle w:val="null3"/>
        <w:ind w:firstLine="480"/>
        <w:jc w:val="both"/>
      </w:pPr>
      <w:r>
        <w:rPr>
          <w:sz w:val="24"/>
        </w:rPr>
        <w:t>2.符合采购文件和响应承诺中各方共同认可的合理要求；</w:t>
      </w:r>
    </w:p>
    <w:p>
      <w:pPr>
        <w:pStyle w:val="null3"/>
        <w:ind w:firstLine="480"/>
        <w:jc w:val="both"/>
      </w:pPr>
      <w:r>
        <w:rPr>
          <w:sz w:val="24"/>
        </w:rPr>
        <w:t>上述各类标准与法规必须是有关官方机构最新发布的现行标准版本。</w:t>
      </w:r>
    </w:p>
    <w:p>
      <w:pPr>
        <w:pStyle w:val="null3"/>
        <w:ind w:firstLine="482"/>
        <w:jc w:val="both"/>
      </w:pPr>
      <w:r>
        <w:rPr>
          <w:sz w:val="24"/>
          <w:b/>
        </w:rPr>
        <w:t>五、投诉跟踪服务要求：</w:t>
      </w:r>
    </w:p>
    <w:p>
      <w:pPr>
        <w:pStyle w:val="null3"/>
        <w:ind w:firstLine="480"/>
        <w:jc w:val="both"/>
      </w:pPr>
      <w:r>
        <w:rPr>
          <w:sz w:val="24"/>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jc w:val="both"/>
      </w:pPr>
      <w:r>
        <w:rPr>
          <w:sz w:val="24"/>
        </w:rPr>
        <w:t>2.合同履行期限内，甲方有权按本项目的管理要求对乙方进行不定期抽查检查，若对不合格的管理服务提出警告后，仍未得到有效解决时，甲方有权终止采购合同。</w:t>
      </w:r>
    </w:p>
    <w:p>
      <w:pPr>
        <w:pStyle w:val="null3"/>
        <w:ind w:firstLine="480"/>
        <w:jc w:val="both"/>
      </w:pPr>
      <w:r>
        <w:rPr>
          <w:sz w:val="24"/>
        </w:rPr>
        <w:t>3.乙方服务机构名称及地址：</w:t>
      </w:r>
    </w:p>
    <w:p>
      <w:pPr>
        <w:pStyle w:val="null3"/>
        <w:ind w:firstLine="420"/>
        <w:jc w:val="both"/>
      </w:pPr>
      <w:r>
        <w:rPr>
          <w:sz w:val="24"/>
        </w:rPr>
        <w:t>联系人</w:t>
      </w:r>
      <w:r>
        <w:rPr>
          <w:sz w:val="24"/>
        </w:rPr>
        <w:t>1：          ，联系电话：            ，手机：          ；</w:t>
      </w:r>
    </w:p>
    <w:p>
      <w:pPr>
        <w:pStyle w:val="null3"/>
        <w:ind w:firstLine="420"/>
        <w:jc w:val="both"/>
      </w:pPr>
      <w:r>
        <w:rPr>
          <w:sz w:val="24"/>
        </w:rPr>
        <w:t>联系人</w:t>
      </w:r>
      <w:r>
        <w:rPr>
          <w:sz w:val="24"/>
        </w:rPr>
        <w:t>2：          ，联系电话：            ，手机：          ；</w:t>
      </w:r>
    </w:p>
    <w:p>
      <w:pPr>
        <w:pStyle w:val="null3"/>
        <w:ind w:firstLine="420"/>
        <w:jc w:val="both"/>
      </w:pPr>
      <w:r>
        <w:rPr>
          <w:sz w:val="24"/>
        </w:rPr>
        <w:t>服务专线电话：</w:t>
      </w:r>
    </w:p>
    <w:p>
      <w:pPr>
        <w:pStyle w:val="null3"/>
        <w:ind w:firstLine="480"/>
        <w:jc w:val="both"/>
      </w:pPr>
      <w:r>
        <w:rPr>
          <w:sz w:val="24"/>
        </w:rPr>
        <w:t>4.其他服务要求：（补充内容不得对采购文件和投标/响应文件作实质性修改）</w:t>
      </w:r>
    </w:p>
    <w:p>
      <w:pPr>
        <w:pStyle w:val="null3"/>
        <w:ind w:firstLine="480"/>
        <w:jc w:val="both"/>
      </w:pPr>
      <w:r>
        <w:rPr>
          <w:u w:val="single"/>
        </w:rPr>
        <w:t xml:space="preserve">                                                           </w:t>
      </w:r>
      <w:r>
        <w:rPr>
          <w:sz w:val="24"/>
        </w:rPr>
        <w:t>。</w:t>
      </w:r>
    </w:p>
    <w:p>
      <w:pPr>
        <w:pStyle w:val="null3"/>
        <w:ind w:firstLine="482"/>
        <w:jc w:val="both"/>
      </w:pPr>
      <w:r>
        <w:rPr>
          <w:sz w:val="24"/>
          <w:b/>
        </w:rPr>
        <w:t>六、验收要求：</w:t>
      </w:r>
    </w:p>
    <w:p>
      <w:pPr>
        <w:pStyle w:val="null3"/>
        <w:ind w:firstLine="480"/>
        <w:jc w:val="both"/>
      </w:pPr>
      <w:r>
        <w:rPr>
          <w:sz w:val="24"/>
        </w:rPr>
        <w:t>1.乙方配合甲方分阶段完成产品研发部署工作，按如下2个阶段进行验收：</w:t>
      </w:r>
    </w:p>
    <w:p>
      <w:pPr>
        <w:pStyle w:val="null3"/>
        <w:ind w:firstLine="480"/>
        <w:jc w:val="both"/>
      </w:pPr>
      <w:r>
        <w:rPr>
          <w:sz w:val="24"/>
        </w:rPr>
        <w:t>（</w:t>
      </w:r>
      <w:r>
        <w:rPr>
          <w:sz w:val="24"/>
        </w:rPr>
        <w:t>1）系统完成整体部署，正式上线后并交付对应文档，</w:t>
      </w:r>
      <w:r>
        <w:rPr>
          <w:sz w:val="24"/>
        </w:rPr>
        <w:t>试</w:t>
      </w:r>
      <w:r>
        <w:rPr>
          <w:sz w:val="24"/>
        </w:rPr>
        <w:t>运行</w:t>
      </w:r>
      <w:r>
        <w:rPr>
          <w:sz w:val="24"/>
        </w:rPr>
        <w:t>1个月后进行项目初步验收，</w:t>
      </w:r>
      <w:r>
        <w:rPr>
          <w:sz w:val="24"/>
        </w:rPr>
        <w:t>根据系统试运行的要求作为初步验收的标准，</w:t>
      </w:r>
      <w:r>
        <w:rPr>
          <w:sz w:val="24"/>
        </w:rPr>
        <w:t>初步验收合格后乙方向甲方提供初步验收报告、运行申请单。</w:t>
      </w:r>
    </w:p>
    <w:p>
      <w:pPr>
        <w:pStyle w:val="null3"/>
        <w:ind w:firstLine="480"/>
        <w:jc w:val="both"/>
      </w:pPr>
      <w:r>
        <w:rPr>
          <w:sz w:val="24"/>
        </w:rPr>
        <w:t>（</w:t>
      </w:r>
      <w:r>
        <w:rPr>
          <w:sz w:val="24"/>
        </w:rPr>
        <w:t>2）项目初步验收合格后</w:t>
      </w:r>
      <w:r>
        <w:rPr>
          <w:sz w:val="24"/>
        </w:rPr>
        <w:t>进入运维服务期，运维服务期</w:t>
      </w:r>
      <w:r>
        <w:rPr>
          <w:sz w:val="24"/>
        </w:rPr>
        <w:t>1</w:t>
      </w:r>
      <w:r>
        <w:rPr>
          <w:sz w:val="24"/>
        </w:rPr>
        <w:t>年，</w:t>
      </w:r>
      <w:r>
        <w:rPr>
          <w:sz w:val="24"/>
        </w:rPr>
        <w:t>甲方</w:t>
      </w:r>
      <w:r>
        <w:rPr>
          <w:sz w:val="24"/>
        </w:rPr>
        <w:t>每半年对</w:t>
      </w:r>
      <w:r>
        <w:rPr>
          <w:sz w:val="24"/>
        </w:rPr>
        <w:t>乙方</w:t>
      </w:r>
      <w:r>
        <w:rPr>
          <w:sz w:val="24"/>
        </w:rPr>
        <w:t>进行运维服务质量考核，考核合格后进行最终验收，根据运维服务期质量考核表的考核情况作为最终验收的标准，</w:t>
      </w:r>
      <w:r>
        <w:rPr>
          <w:sz w:val="24"/>
        </w:rPr>
        <w:t>乙方</w:t>
      </w:r>
      <w:r>
        <w:rPr>
          <w:sz w:val="24"/>
        </w:rPr>
        <w:t>向</w:t>
      </w:r>
      <w:r>
        <w:rPr>
          <w:sz w:val="24"/>
        </w:rPr>
        <w:t>甲方</w:t>
      </w:r>
      <w:r>
        <w:rPr>
          <w:sz w:val="24"/>
        </w:rPr>
        <w:t>提供运维服务质量考核表和最终验收报告。</w:t>
      </w:r>
      <w:r>
        <w:rPr>
          <w:sz w:val="24"/>
        </w:rPr>
        <w:t>项目验收依次序对照执行标准：</w:t>
      </w:r>
      <w:r>
        <w:rPr>
          <w:sz w:val="24"/>
        </w:rPr>
        <w:t>①符合中华人民共和国国家和履约地相关安全质量标准、行业技术规范标准。②符合招标文件和投标承诺中甲方认可的合理最佳配置及各项要求。③双方约定的其他验收标准。</w:t>
      </w:r>
    </w:p>
    <w:p>
      <w:pPr>
        <w:pStyle w:val="null3"/>
        <w:ind w:firstLine="480"/>
        <w:jc w:val="both"/>
      </w:pPr>
      <w:r>
        <w:rPr>
          <w:sz w:val="24"/>
        </w:rPr>
        <w:t>2.其他验收要求：（补充内容不得对采购文件和投标/响应文件作实质性修改）</w:t>
      </w:r>
    </w:p>
    <w:p>
      <w:pPr>
        <w:pStyle w:val="null3"/>
        <w:ind w:firstLine="480"/>
        <w:jc w:val="both"/>
      </w:pPr>
      <w:r>
        <w:rPr>
          <w:u w:val="single"/>
        </w:rPr>
        <w:t xml:space="preserve">                                                           </w:t>
      </w:r>
      <w:r>
        <w:rPr>
          <w:sz w:val="24"/>
        </w:rPr>
        <w:t>。</w:t>
      </w:r>
    </w:p>
    <w:p>
      <w:pPr>
        <w:pStyle w:val="null3"/>
        <w:ind w:firstLine="480"/>
        <w:jc w:val="both"/>
      </w:pPr>
      <w:r>
        <w:rPr>
          <w:sz w:val="24"/>
          <w:b/>
        </w:rPr>
        <w:t>七、知识产权和保密要求：</w:t>
      </w:r>
    </w:p>
    <w:p>
      <w:pPr>
        <w:pStyle w:val="null3"/>
        <w:ind w:firstLine="480"/>
        <w:jc w:val="both"/>
      </w:pPr>
      <w:r>
        <w:rPr>
          <w:sz w:val="24"/>
          <w:u w:val="single"/>
        </w:rPr>
        <w:t>1.知识产权</w:t>
      </w:r>
    </w:p>
    <w:p>
      <w:pPr>
        <w:pStyle w:val="null3"/>
        <w:ind w:firstLine="480"/>
        <w:jc w:val="both"/>
      </w:pPr>
      <w:r>
        <w:rPr>
          <w:sz w:val="24"/>
          <w:u w:val="single"/>
        </w:rPr>
        <w:t>（</w:t>
      </w:r>
      <w:r>
        <w:rPr>
          <w:sz w:val="24"/>
          <w:u w:val="single"/>
        </w:rPr>
        <w:t>1）乙方应保证本项目的投标技术、服务或其任何一部分不会产生因第三方提出侵犯其专利权、商标权或其他知识产权而引起的法律和经济纠纷；如因第三方提出其专利权、商标权等知识产权或其他权益的侵权之诉，则一切法律责任由乙方承担。</w:t>
      </w:r>
    </w:p>
    <w:p>
      <w:pPr>
        <w:pStyle w:val="null3"/>
        <w:ind w:firstLine="480"/>
        <w:jc w:val="both"/>
      </w:pPr>
      <w:r>
        <w:rPr>
          <w:sz w:val="24"/>
          <w:u w:val="single"/>
        </w:rPr>
        <w:t>（</w:t>
      </w:r>
      <w:r>
        <w:rPr>
          <w:sz w:val="24"/>
          <w:u w:val="single"/>
        </w:rPr>
        <w:t>2）本项目所产出的软件源代码、技术文档等成果知识产权归甲方所有。</w:t>
      </w:r>
    </w:p>
    <w:p>
      <w:pPr>
        <w:pStyle w:val="null3"/>
        <w:ind w:firstLine="480"/>
        <w:jc w:val="both"/>
      </w:pPr>
      <w:r>
        <w:rPr>
          <w:sz w:val="24"/>
          <w:u w:val="single"/>
        </w:rPr>
        <w:t>2.保密条款</w:t>
      </w:r>
    </w:p>
    <w:p>
      <w:pPr>
        <w:pStyle w:val="null3"/>
        <w:ind w:firstLine="480"/>
        <w:jc w:val="both"/>
      </w:pPr>
      <w:r>
        <w:rPr>
          <w:sz w:val="24"/>
          <w:u w:val="single"/>
        </w:rPr>
        <w:t>（</w:t>
      </w:r>
      <w:r>
        <w:rPr>
          <w:sz w:val="24"/>
          <w:u w:val="single"/>
        </w:rPr>
        <w:t>1）乙方必须如约承担合同履行时所应该尽的一切保密义务。乙方及其参与本项目的所有工作人员均须对甲方信息、项目实施过程中的资料、数据进行保密，未经甲方书面同意不得泄露给第三方，否则，甲方保留追究乙方法律责任的权利。保密责任不因合同的中止或解除而失效。</w:t>
      </w:r>
    </w:p>
    <w:p>
      <w:pPr>
        <w:pStyle w:val="null3"/>
        <w:ind w:firstLine="480"/>
        <w:jc w:val="both"/>
      </w:pPr>
      <w:r>
        <w:rPr>
          <w:sz w:val="24"/>
          <w:u w:val="single"/>
        </w:rPr>
        <w:t>（</w:t>
      </w:r>
      <w:r>
        <w:rPr>
          <w:sz w:val="24"/>
          <w:u w:val="single"/>
        </w:rPr>
        <w:t>2）与本项目有关甲方的信息、项目实施过程中的资料、数据等所有资料（包括但不限于文字、图片、声像资料、电子数据等）均属甲方所有，乙方及其参与本项目的所有工作人员在本合同有效期内或合同终止后，不得泄露，也不得超越本项目实施范围使用。</w:t>
      </w:r>
    </w:p>
    <w:p>
      <w:pPr>
        <w:pStyle w:val="null3"/>
        <w:ind w:firstLine="480"/>
        <w:jc w:val="both"/>
      </w:pPr>
      <w:r>
        <w:rPr>
          <w:sz w:val="24"/>
          <w:b/>
        </w:rPr>
        <w:t>八、违约责任：</w:t>
      </w:r>
    </w:p>
    <w:p>
      <w:pPr>
        <w:pStyle w:val="null3"/>
        <w:ind w:firstLine="480"/>
        <w:jc w:val="both"/>
      </w:pPr>
      <w:r>
        <w:rPr>
          <w:sz w:val="24"/>
        </w:rPr>
        <w:t>1.乙方未按要求履行合同义务时，须从违约之日起每日按合同总额的</w:t>
      </w:r>
      <w:r>
        <w:rPr>
          <w:sz w:val="24"/>
          <w:u w:val="single"/>
        </w:rPr>
        <w:t>3‰</w:t>
      </w:r>
      <w:r>
        <w:rPr>
          <w:sz w:val="24"/>
        </w:rPr>
        <w:t>比例向甲方支付违约金；逾期</w:t>
      </w:r>
      <w:r>
        <w:rPr>
          <w:sz w:val="24"/>
          <w:u w:val="single"/>
        </w:rPr>
        <w:t>15</w:t>
      </w:r>
      <w:r>
        <w:rPr>
          <w:sz w:val="24"/>
        </w:rPr>
        <w:t>日以上时，甲方有权终止合同，由此造成甲方的经济损失由乙方承担。违约金不足以弥补损失的，乙方应按全额赔偿。</w:t>
      </w:r>
    </w:p>
    <w:p>
      <w:pPr>
        <w:pStyle w:val="null3"/>
        <w:ind w:firstLine="480"/>
        <w:jc w:val="both"/>
      </w:pPr>
      <w:r>
        <w:rPr>
          <w:sz w:val="24"/>
        </w:rPr>
        <w:t>2.甲方未按要求履行合同义务时，或无故拖延验收、付款时，甲方须向乙方支付滞纳金，标准为每日按逾期应付款总额的</w:t>
      </w:r>
      <w:r>
        <w:rPr>
          <w:sz w:val="24"/>
          <w:u w:val="single"/>
        </w:rPr>
        <w:t>3‰</w:t>
      </w:r>
      <w:r>
        <w:rPr>
          <w:sz w:val="24"/>
        </w:rPr>
        <w:t>累计。</w:t>
      </w:r>
    </w:p>
    <w:p>
      <w:pPr>
        <w:pStyle w:val="null3"/>
        <w:ind w:firstLine="480"/>
        <w:jc w:val="both"/>
      </w:pPr>
      <w:r>
        <w:rPr>
          <w:sz w:val="24"/>
          <w:b/>
        </w:rPr>
        <w:t>九、提出异议的时间和方法：</w:t>
      </w:r>
    </w:p>
    <w:p>
      <w:pPr>
        <w:pStyle w:val="null3"/>
        <w:ind w:firstLine="480"/>
        <w:jc w:val="both"/>
      </w:pPr>
      <w:r>
        <w:rPr>
          <w:sz w:val="24"/>
        </w:rPr>
        <w:t>1.甲方有异议时，应</w:t>
      </w:r>
      <w:r>
        <w:rPr>
          <w:sz w:val="24"/>
          <w:u w:val="single"/>
        </w:rPr>
        <w:t xml:space="preserve"> </w:t>
      </w:r>
      <w:r>
        <w:rPr>
          <w:sz w:val="24"/>
          <w:u w:val="single"/>
        </w:rPr>
        <w:t>15</w:t>
      </w:r>
      <w:r>
        <w:rPr>
          <w:sz w:val="24"/>
        </w:rPr>
        <w:t>天内向乙方提出书面异议。</w:t>
      </w:r>
    </w:p>
    <w:p>
      <w:pPr>
        <w:pStyle w:val="null3"/>
        <w:ind w:firstLine="480"/>
        <w:jc w:val="both"/>
      </w:pPr>
      <w:r>
        <w:rPr>
          <w:sz w:val="24"/>
        </w:rPr>
        <w:t>2.乙方在接到甲方书面异议后，应在</w:t>
      </w:r>
      <w:r>
        <w:rPr>
          <w:sz w:val="24"/>
          <w:u w:val="single"/>
        </w:rPr>
        <w:t xml:space="preserve"> </w:t>
      </w:r>
      <w:r>
        <w:rPr>
          <w:sz w:val="24"/>
          <w:u w:val="single"/>
        </w:rPr>
        <w:t>15</w:t>
      </w:r>
      <w:r>
        <w:rPr>
          <w:sz w:val="24"/>
        </w:rPr>
        <w:t>天内负责处理并函复甲方处理情况，否则，即视为默认甲方提出的异议和处理意见。</w:t>
      </w:r>
    </w:p>
    <w:p>
      <w:pPr>
        <w:pStyle w:val="null3"/>
        <w:ind w:firstLine="480"/>
        <w:jc w:val="both"/>
      </w:pPr>
      <w:r>
        <w:rPr>
          <w:sz w:val="24"/>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firstLine="480"/>
        <w:jc w:val="both"/>
      </w:pPr>
      <w:r>
        <w:rPr>
          <w:sz w:val="24"/>
          <w:b/>
        </w:rPr>
        <w:t>十、争议的解决：</w:t>
      </w:r>
    </w:p>
    <w:p>
      <w:pPr>
        <w:pStyle w:val="null3"/>
        <w:ind w:firstLine="480"/>
        <w:jc w:val="both"/>
      </w:pPr>
      <w:r>
        <w:rPr>
          <w:sz w:val="24"/>
        </w:rPr>
        <w:t>1.合同履行过程中发生的任何争议，如双方未能通过友好协商解决，应向佛山市有管辖权的人民法院提起诉讼。</w:t>
      </w:r>
    </w:p>
    <w:p>
      <w:pPr>
        <w:pStyle w:val="null3"/>
        <w:ind w:firstLine="480"/>
        <w:jc w:val="both"/>
      </w:pPr>
      <w:r>
        <w:rPr>
          <w:sz w:val="24"/>
        </w:rPr>
        <w:t>2.法院审理期间，除提交法院审理的事项外，其它无争议的事项和条款仍应继续履行。</w:t>
      </w:r>
    </w:p>
    <w:p>
      <w:pPr>
        <w:pStyle w:val="null3"/>
        <w:ind w:firstLine="480"/>
        <w:jc w:val="both"/>
      </w:pPr>
      <w:r>
        <w:rPr>
          <w:sz w:val="24"/>
          <w:b/>
        </w:rPr>
        <w:t>十一、不可抗力：</w:t>
      </w:r>
    </w:p>
    <w:p>
      <w:pPr>
        <w:pStyle w:val="null3"/>
        <w:ind w:firstLine="420"/>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ind w:firstLine="480"/>
        <w:jc w:val="both"/>
      </w:pPr>
      <w:r>
        <w:rPr>
          <w:sz w:val="24"/>
          <w:b/>
        </w:rPr>
        <w:t>十二、税费：</w:t>
      </w:r>
    </w:p>
    <w:p>
      <w:pPr>
        <w:pStyle w:val="null3"/>
        <w:ind w:firstLine="480"/>
        <w:jc w:val="both"/>
      </w:pPr>
      <w:r>
        <w:rPr>
          <w:sz w:val="24"/>
        </w:rPr>
        <w:t>1.本合同实施过程中所发生的一切税费及不可预见费均由乙方承担。</w:t>
      </w:r>
    </w:p>
    <w:p>
      <w:pPr>
        <w:pStyle w:val="null3"/>
        <w:ind w:firstLine="480"/>
        <w:jc w:val="both"/>
      </w:pPr>
      <w:r>
        <w:rPr>
          <w:sz w:val="24"/>
        </w:rPr>
        <w:t>2.乙方依照税务规章优先在合同履约地开具发票及纳税，咨询：0757-12366。</w:t>
      </w:r>
    </w:p>
    <w:p>
      <w:pPr>
        <w:pStyle w:val="null3"/>
        <w:ind w:firstLine="480"/>
        <w:jc w:val="both"/>
      </w:pPr>
      <w:r>
        <w:rPr>
          <w:sz w:val="24"/>
          <w:b/>
        </w:rPr>
        <w:t>十三、合同生效与合同备案：</w:t>
      </w:r>
    </w:p>
    <w:p>
      <w:pPr>
        <w:pStyle w:val="null3"/>
        <w:ind w:firstLine="480"/>
        <w:jc w:val="both"/>
      </w:pPr>
      <w:r>
        <w:rPr>
          <w:sz w:val="24"/>
        </w:rPr>
        <w:t>1.本合同经采购代理机构鉴证后，由甲方和乙方法人代表或其授权代表签字、盖章之日起即行生效。</w:t>
      </w:r>
    </w:p>
    <w:p>
      <w:pPr>
        <w:pStyle w:val="null3"/>
        <w:ind w:firstLine="480"/>
        <w:jc w:val="both"/>
      </w:pPr>
      <w:r>
        <w:rPr>
          <w:sz w:val="24"/>
        </w:rPr>
        <w:t>2.自采购合同签订之日起2个工作日内，甲方将采购合同(补充合同)在省采购网上公告，但采购合同中涉及国家秘密、商业秘密的内容除外。</w:t>
      </w:r>
    </w:p>
    <w:p>
      <w:pPr>
        <w:pStyle w:val="null3"/>
        <w:ind w:firstLine="480"/>
        <w:jc w:val="both"/>
      </w:pPr>
      <w:r>
        <w:rPr>
          <w:sz w:val="24"/>
          <w:b/>
        </w:rPr>
        <w:t>十四、乙方应提供的资料内容：</w:t>
      </w:r>
    </w:p>
    <w:p>
      <w:pPr>
        <w:pStyle w:val="null3"/>
        <w:ind w:firstLine="480"/>
        <w:jc w:val="both"/>
      </w:pPr>
      <w:r>
        <w:rPr>
          <w:u w:val="single"/>
        </w:rPr>
        <w:t xml:space="preserve">                             </w:t>
      </w:r>
      <w:r>
        <w:rPr>
          <w:sz w:val="24"/>
        </w:rPr>
        <w:t>。</w:t>
      </w:r>
    </w:p>
    <w:p>
      <w:pPr>
        <w:pStyle w:val="null3"/>
        <w:ind w:firstLine="480"/>
        <w:jc w:val="both"/>
      </w:pPr>
      <w:r>
        <w:rPr>
          <w:sz w:val="24"/>
          <w:b/>
        </w:rPr>
        <w:t>十五、关于政府采购合同融资</w:t>
      </w:r>
    </w:p>
    <w:p>
      <w:pPr>
        <w:pStyle w:val="null3"/>
        <w:ind w:firstLine="480"/>
        <w:jc w:val="both"/>
      </w:pPr>
      <w:r>
        <w:rPr>
          <w:sz w:val="24"/>
        </w:rPr>
        <w:t>1.乙方是否已申请政府采购合同融资：</w:t>
      </w:r>
      <w:r>
        <w:rPr>
          <w:sz w:val="24"/>
          <w:u w:val="single"/>
        </w:rPr>
        <w:t xml:space="preserve">  </w:t>
      </w:r>
      <w:r>
        <w:rPr>
          <w:sz w:val="24"/>
          <w:u w:val="single"/>
        </w:rPr>
        <w:t>是</w:t>
      </w:r>
      <w:r>
        <w:rPr>
          <w:sz w:val="24"/>
          <w:u w:val="single"/>
        </w:rPr>
        <w:t xml:space="preserve">/否  </w:t>
      </w:r>
      <w:r>
        <w:rPr>
          <w:sz w:val="24"/>
        </w:rPr>
        <w:t>；</w:t>
      </w:r>
    </w:p>
    <w:p>
      <w:pPr>
        <w:pStyle w:val="null3"/>
        <w:ind w:firstLine="480"/>
        <w:jc w:val="both"/>
      </w:pPr>
      <w:r>
        <w:rPr>
          <w:sz w:val="24"/>
        </w:rPr>
        <w:t>2.融资银行及联系方式：</w:t>
      </w:r>
      <w:r>
        <w:rPr>
          <w:u w:val="single"/>
        </w:rPr>
        <w:t xml:space="preserve">          </w:t>
      </w:r>
      <w:r>
        <w:rPr>
          <w:sz w:val="24"/>
        </w:rPr>
        <w:t>。</w:t>
      </w:r>
    </w:p>
    <w:p>
      <w:pPr>
        <w:pStyle w:val="null3"/>
        <w:ind w:firstLine="480"/>
        <w:jc w:val="both"/>
      </w:pPr>
      <w:r>
        <w:rPr>
          <w:sz w:val="24"/>
        </w:rPr>
        <w:t>3.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4"/>
          <w:b/>
        </w:rPr>
        <w:t>。</w:t>
      </w:r>
    </w:p>
    <w:p>
      <w:pPr>
        <w:pStyle w:val="null3"/>
        <w:ind w:firstLine="480"/>
        <w:jc w:val="both"/>
      </w:pPr>
      <w:r>
        <w:rPr>
          <w:sz w:val="24"/>
          <w:b/>
        </w:rPr>
        <w:t>十六、其它：</w:t>
      </w:r>
    </w:p>
    <w:p>
      <w:pPr>
        <w:pStyle w:val="null3"/>
        <w:ind w:firstLine="480"/>
        <w:jc w:val="both"/>
      </w:pPr>
      <w:r>
        <w:rPr>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4"/>
        </w:rPr>
        <w:t>2.如一方（包括联系人）地址、电话、传真号码有变更，应在变更后3个工作日内书面通知对方联系人或负责人，否则，因此造成的损失由未履行通知义务方承担相应责任。</w:t>
      </w:r>
    </w:p>
    <w:p>
      <w:pPr>
        <w:pStyle w:val="null3"/>
        <w:ind w:firstLine="480"/>
        <w:jc w:val="both"/>
      </w:pPr>
      <w:r>
        <w:rPr>
          <w:sz w:val="24"/>
        </w:rPr>
        <w:t>3.未经甲方书面同意，乙方不得擅自向第三方转让其主体性和关键性合同义务。</w:t>
      </w:r>
    </w:p>
    <w:p>
      <w:pPr>
        <w:pStyle w:val="null3"/>
        <w:ind w:firstLine="480"/>
        <w:jc w:val="both"/>
      </w:pPr>
      <w:r>
        <w:rPr>
          <w:sz w:val="24"/>
        </w:rPr>
        <w:t>4.本合同一式份，具有同等法律效力，甲方执份、乙方执份，采购代理机构执壹份。</w:t>
      </w:r>
    </w:p>
    <w:p>
      <w:pPr>
        <w:pStyle w:val="null3"/>
        <w:ind w:firstLine="480"/>
        <w:jc w:val="both"/>
      </w:pPr>
      <w:r>
        <w:rPr>
          <w:sz w:val="24"/>
        </w:rPr>
        <w:t>5.本合同（含附件）共计页，缺页之合同为无效合同。</w:t>
      </w:r>
    </w:p>
    <w:p>
      <w:pPr>
        <w:pStyle w:val="null3"/>
        <w:ind w:firstLine="480"/>
        <w:jc w:val="both"/>
      </w:pPr>
      <w:r>
        <w:rPr>
          <w:sz w:val="24"/>
        </w:rPr>
        <w:t>6.本合同签约履约地点：</w:t>
      </w:r>
      <w:r>
        <w:rPr>
          <w:sz w:val="24"/>
          <w:u w:val="single"/>
        </w:rPr>
        <w:t>广东省佛山市南海区</w:t>
      </w:r>
      <w:r>
        <w:rPr>
          <w:sz w:val="24"/>
        </w:rPr>
        <w:t>。</w:t>
      </w:r>
    </w:p>
    <w:p>
      <w:pPr>
        <w:pStyle w:val="null3"/>
        <w:ind w:firstLine="480"/>
        <w:jc w:val="both"/>
      </w:pPr>
      <w:r>
        <w:rPr>
          <w:sz w:val="24"/>
        </w:rPr>
        <w:t>7.本合同所指“书面通知”包括但不限于短信、电子邮件等数据电文的通知形式，到达时间以民事诉讼法的规定为准，但进行书面通知前后，通知方均有义务电话确认通知事项。</w:t>
      </w:r>
    </w:p>
    <w:p>
      <w:pPr>
        <w:pStyle w:val="null3"/>
        <w:ind w:firstLine="480"/>
        <w:jc w:val="both"/>
      </w:pPr>
      <w:r>
        <w:rPr>
          <w:sz w:val="24"/>
        </w:rPr>
        <w:t>8.双方均已对以上各条款及附件作充分了解，并明确理解由此而产生的相关权责。</w:t>
      </w:r>
    </w:p>
    <w:p>
      <w:pPr>
        <w:pStyle w:val="null3"/>
        <w:ind w:firstLine="480"/>
        <w:jc w:val="both"/>
      </w:pPr>
      <w:r>
        <w:rPr>
          <w:sz w:val="24"/>
        </w:rPr>
        <w:t>（以下无正文）</w:t>
      </w:r>
    </w:p>
    <w:p>
      <w:pPr>
        <w:pStyle w:val="null3"/>
        <w:jc w:val="both"/>
      </w:pPr>
      <w:r>
        <w:rPr/>
        <w:t xml:space="preserve"> </w:t>
      </w:r>
    </w:p>
    <w:p>
      <w:pPr>
        <w:pStyle w:val="null3"/>
        <w:jc w:val="both"/>
      </w:pPr>
      <w:r>
        <w:rPr/>
        <w:t xml:space="preserve"> </w:t>
      </w:r>
    </w:p>
    <w:p>
      <w:pPr>
        <w:pStyle w:val="null3"/>
        <w:ind w:firstLine="480"/>
        <w:jc w:val="both"/>
      </w:pPr>
      <w:r>
        <w:rPr>
          <w:sz w:val="24"/>
        </w:rPr>
        <w:t>合同鉴证单位：广东信诚招标代理咨询有限公司佛山分公司（盖公章）</w:t>
      </w:r>
    </w:p>
    <w:p>
      <w:pPr>
        <w:pStyle w:val="null3"/>
        <w:ind w:firstLine="480"/>
        <w:jc w:val="both"/>
      </w:pPr>
      <w:r>
        <w:rPr>
          <w:sz w:val="24"/>
        </w:rPr>
        <w:t>合同鉴证意见：本合同条款与招标文件相符。</w:t>
      </w:r>
    </w:p>
    <w:p>
      <w:pPr>
        <w:pStyle w:val="null3"/>
        <w:ind w:firstLine="480"/>
        <w:jc w:val="both"/>
      </w:pPr>
      <w:r>
        <w:rPr>
          <w:sz w:val="24"/>
        </w:rPr>
        <w:t>经办人（签名）：</w:t>
      </w:r>
    </w:p>
    <w:p>
      <w:pPr>
        <w:pStyle w:val="null3"/>
        <w:ind w:firstLine="480"/>
        <w:jc w:val="both"/>
      </w:pPr>
      <w:r>
        <w:rPr>
          <w:sz w:val="24"/>
        </w:rPr>
        <w:t>合同鉴证日期：</w:t>
      </w:r>
      <w:r>
        <w:rPr>
          <w:sz w:val="24"/>
        </w:rPr>
        <w:t xml:space="preserve">    </w:t>
      </w:r>
      <w:r>
        <w:rPr>
          <w:sz w:val="24"/>
        </w:rPr>
        <w:t>年</w:t>
      </w:r>
      <w:r>
        <w:rPr>
          <w:sz w:val="24"/>
        </w:rPr>
        <w:t xml:space="preserve">  </w:t>
      </w:r>
      <w:r>
        <w:rPr>
          <w:sz w:val="24"/>
        </w:rPr>
        <w:t>月</w:t>
      </w:r>
      <w:r>
        <w:rPr>
          <w:sz w:val="24"/>
        </w:rPr>
        <w:t xml:space="preserve">  </w:t>
      </w:r>
      <w:r>
        <w:rPr>
          <w:sz w:val="24"/>
        </w:rPr>
        <w:t>日</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90"/>
              <w:bottom w:type="dxa" w:w="0"/>
              <w:right w:type="dxa" w:w="90"/>
            </w:tcMar>
            <w:vAlign w:val="top"/>
          </w:tcPr>
          <w:p>
            <w:pPr>
              <w:pStyle w:val="null3"/>
              <w:jc w:val="both"/>
            </w:pPr>
            <w:r>
              <w:rPr>
                <w:sz w:val="24"/>
                <w:b/>
              </w:rPr>
              <w:t>甲方（盖章）：</w:t>
            </w:r>
          </w:p>
          <w:p>
            <w:pPr>
              <w:pStyle w:val="null3"/>
              <w:jc w:val="both"/>
            </w:pPr>
            <w:r>
              <w:rPr>
                <w:sz w:val="19"/>
              </w:rPr>
              <w:t xml:space="preserve"> </w:t>
            </w:r>
          </w:p>
          <w:p>
            <w:pPr>
              <w:pStyle w:val="null3"/>
              <w:jc w:val="both"/>
            </w:pPr>
            <w:r>
              <w:rPr>
                <w:sz w:val="24"/>
              </w:rPr>
              <w:t>代表：</w:t>
            </w:r>
          </w:p>
          <w:p>
            <w:pPr>
              <w:pStyle w:val="null3"/>
              <w:jc w:val="both"/>
            </w:pPr>
            <w:r>
              <w:rPr>
                <w:sz w:val="24"/>
              </w:rPr>
              <w:t>地址：</w:t>
            </w:r>
          </w:p>
          <w:p>
            <w:pPr>
              <w:pStyle w:val="null3"/>
              <w:jc w:val="both"/>
            </w:pPr>
            <w:r>
              <w:rPr>
                <w:sz w:val="24"/>
              </w:rPr>
              <w:t>电话：</w:t>
            </w:r>
          </w:p>
          <w:p>
            <w:pPr>
              <w:pStyle w:val="null3"/>
              <w:jc w:val="both"/>
            </w:pPr>
            <w:r>
              <w:rPr>
                <w:sz w:val="24"/>
              </w:rPr>
              <w:t>传真：</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0"/>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r>
              <w:rPr>
                <w:sz w:val="24"/>
                <w:b/>
              </w:rPr>
              <w:t>乙方（盖章）：</w:t>
            </w:r>
          </w:p>
          <w:p>
            <w:pPr>
              <w:pStyle w:val="null3"/>
              <w:jc w:val="both"/>
            </w:pPr>
            <w:r>
              <w:rPr>
                <w:sz w:val="24"/>
              </w:rPr>
              <w:t>代表：</w:t>
            </w:r>
          </w:p>
          <w:p>
            <w:pPr>
              <w:pStyle w:val="null3"/>
              <w:jc w:val="both"/>
            </w:pPr>
            <w:r>
              <w:rPr>
                <w:sz w:val="24"/>
              </w:rPr>
              <w:t>地址：</w:t>
            </w:r>
          </w:p>
          <w:p>
            <w:pPr>
              <w:pStyle w:val="null3"/>
              <w:jc w:val="both"/>
            </w:pPr>
            <w:r>
              <w:rPr>
                <w:sz w:val="24"/>
              </w:rPr>
              <w:t>电话：</w:t>
            </w:r>
          </w:p>
          <w:p>
            <w:pPr>
              <w:pStyle w:val="null3"/>
              <w:jc w:val="both"/>
            </w:pPr>
            <w:r>
              <w:rPr>
                <w:sz w:val="24"/>
              </w:rPr>
              <w:t>传真：</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4296"/>
            <w:tcBorders>
              <w:top w:val="none" w:color="000000" w:sz="4"/>
              <w:left w:val="none" w:color="000000" w:sz="4"/>
              <w:bottom w:val="single" w:color="FFFFFF" w:sz="4"/>
              <w:right w:val="dashed" w:color="000000" w:sz="4"/>
            </w:tcBorders>
            <w:tcMar>
              <w:top w:type="dxa" w:w="0"/>
              <w:left w:type="dxa" w:w="90"/>
              <w:bottom w:type="dxa" w:w="0"/>
              <w:right w:type="dxa" w:w="90"/>
            </w:tcMar>
            <w:vAlign w:val="top"/>
          </w:tcPr>
          <w:p>
            <w:pPr>
              <w:pStyle w:val="null3"/>
              <w:jc w:val="both"/>
            </w:pPr>
          </w:p>
        </w:tc>
        <w:tc>
          <w:tcPr>
            <w:tcW w:type="dxa" w:w="4010"/>
            <w:tcBorders>
              <w:top w:val="none" w:color="000000" w:sz="4"/>
              <w:left w:val="none" w:color="000000" w:sz="4"/>
              <w:bottom w:val="single" w:color="FFFFFF" w:sz="4"/>
              <w:right w:val="none" w:color="000000" w:sz="4"/>
            </w:tcBorders>
            <w:tcMar>
              <w:top w:type="dxa" w:w="0"/>
              <w:left w:type="dxa" w:w="90"/>
              <w:bottom w:type="dxa" w:w="0"/>
              <w:right w:type="dxa" w:w="90"/>
            </w:tcMar>
            <w:vAlign w:val="top"/>
          </w:tcPr>
          <w:p>
            <w:pPr>
              <w:pStyle w:val="null3"/>
              <w:jc w:val="both"/>
            </w:pPr>
            <w:r>
              <w:rPr>
                <w:sz w:val="24"/>
                <w:b/>
              </w:rPr>
              <w:t>收款方、开票方须与乙方一致，专户为：</w:t>
            </w:r>
          </w:p>
          <w:p>
            <w:pPr>
              <w:pStyle w:val="null3"/>
              <w:jc w:val="both"/>
            </w:pPr>
            <w:r>
              <w:rPr>
                <w:sz w:val="24"/>
              </w:rPr>
              <w:t>开户名称：</w:t>
            </w:r>
          </w:p>
          <w:p>
            <w:pPr>
              <w:pStyle w:val="null3"/>
              <w:jc w:val="both"/>
            </w:pPr>
            <w:r>
              <w:rPr>
                <w:sz w:val="24"/>
              </w:rPr>
              <w:t>银行账号：</w:t>
            </w:r>
          </w:p>
          <w:p>
            <w:pPr>
              <w:pStyle w:val="null3"/>
              <w:jc w:val="both"/>
            </w:pPr>
            <w:r>
              <w:rPr>
                <w:sz w:val="24"/>
              </w:rPr>
              <w:t>开户行：</w:t>
            </w:r>
          </w:p>
        </w:tc>
      </w:tr>
    </w:tbl>
    <w:p>
      <w:pPr>
        <w:pStyle w:val="null3"/>
        <w:jc w:val="both"/>
      </w:pPr>
      <w:r>
        <w:rPr>
          <w:sz w:val="24"/>
          <w:b/>
        </w:rPr>
        <w:t>附件一《报价清单明细表》</w:t>
      </w:r>
      <w:r>
        <w:br/>
      </w:r>
      <w:r>
        <w:br/>
      </w: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440605-2025-05666</w:t>
      </w:r>
    </w:p>
    <w:p>
      <w:pPr>
        <w:pStyle w:val="null3"/>
        <w:jc w:val="center"/>
        <w:outlineLvl w:val="3"/>
      </w:pPr>
      <w:r>
        <w:rPr>
          <w:sz w:val="24"/>
          <w:b/>
        </w:rPr>
        <w:t>采购项目编号：</w:t>
      </w:r>
      <w:r>
        <w:rPr>
          <w:sz w:val="24"/>
          <w:b/>
        </w:rPr>
        <w:t>沥采2025029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广东信诚招标代理咨询有限公司佛山分公司</w:t>
      </w:r>
    </w:p>
    <w:p>
      <w:pPr>
        <w:pStyle w:val="null3"/>
        <w:ind w:firstLine="480"/>
      </w:pPr>
      <w:r>
        <w:rPr/>
        <w:t xml:space="preserve"> 你方组织的</w:t>
      </w:r>
      <w:r>
        <w:rPr>
          <w:u w:val="single"/>
        </w:rPr>
        <w:t>“</w:t>
      </w:r>
      <w:r>
        <w:rPr>
          <w:u w:val="single"/>
        </w:rPr>
        <w:t>数据运维管控体系建设</w:t>
      </w:r>
      <w:r>
        <w:rPr>
          <w:u w:val="single"/>
        </w:rPr>
        <w:t>”</w:t>
      </w:r>
      <w:r>
        <w:rPr/>
        <w:t>项目的招标[采购项目编号为：</w:t>
      </w:r>
      <w:r>
        <w:rPr>
          <w:u w:val="single"/>
        </w:rPr>
        <w:t>沥采2025029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数据运维管控体系建设</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广东信诚招标代理咨询有限公司佛山分公司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数据运维管控体系建设</w:t>
      </w:r>
      <w:r>
        <w:rPr/>
        <w:t>”项目采购[采购项目编号为</w:t>
      </w:r>
      <w:r>
        <w:rPr/>
        <w:t>沥采2025029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佛山市南海区第五人民医院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广东信诚招标代理咨询有限公司佛山分公司</w:t>
      </w:r>
    </w:p>
    <w:p>
      <w:pPr>
        <w:pStyle w:val="null3"/>
        <w:ind w:firstLine="480"/>
      </w:pPr>
      <w:r>
        <w:rPr/>
        <w:t xml:space="preserve"> 如果我方在贵采购代理机构组织的</w:t>
      </w:r>
      <w:r>
        <w:rPr/>
        <w:t>数据运维管控体系建设</w:t>
      </w:r>
      <w:r>
        <w:rPr/>
        <w:t>招标中获中标（采购项目编号：</w:t>
      </w:r>
      <w:r>
        <w:rPr/>
        <w:t>沥采2025029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广东信诚招标代理咨询有限公司佛山分公司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广东信诚招标代理咨询有限公司佛山分公司</w:t>
      </w:r>
    </w:p>
    <w:p>
      <w:pPr>
        <w:pStyle w:val="null3"/>
        <w:ind w:firstLine="480"/>
      </w:pPr>
      <w:r>
        <w:rPr/>
        <w:t>我单位已登记并准备参与“</w:t>
      </w:r>
      <w:r>
        <w:rPr/>
        <w:t>数据运维管控体系建设</w:t>
      </w:r>
      <w:r>
        <w:rPr/>
        <w:t>”项目（采购项目编号：</w:t>
      </w:r>
      <w:r>
        <w:rPr/>
        <w:t>沥采2025029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